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1"/>
        <w:rPr>
          <w:rFonts w:ascii="黑体" w:hAnsi="黑体" w:eastAsia="黑体" w:cs="宋体"/>
          <w:bCs/>
          <w:spacing w:val="8"/>
          <w:kern w:val="0"/>
          <w:sz w:val="32"/>
          <w:szCs w:val="32"/>
        </w:rPr>
      </w:pPr>
      <w:r>
        <w:rPr>
          <w:rFonts w:hint="eastAsia" w:ascii="黑体" w:hAnsi="黑体" w:eastAsia="黑体" w:cs="宋体"/>
          <w:bCs/>
          <w:spacing w:val="8"/>
          <w:kern w:val="0"/>
          <w:sz w:val="32"/>
          <w:szCs w:val="32"/>
        </w:rPr>
        <w:t>附件1</w:t>
      </w:r>
    </w:p>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1"/>
        <w:rPr>
          <w:rFonts w:ascii="仿宋_GB2312" w:hAnsi="仿宋_GB2312" w:eastAsia="仿宋_GB2312" w:cs="宋体"/>
          <w:bCs/>
          <w:spacing w:val="8"/>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1"/>
        <w:rPr>
          <w:rFonts w:ascii="华文中宋" w:hAnsi="华文中宋" w:eastAsia="华文中宋" w:cs="宋体"/>
          <w:b/>
          <w:bCs/>
          <w:spacing w:val="8"/>
          <w:kern w:val="0"/>
          <w:sz w:val="44"/>
          <w:szCs w:val="44"/>
        </w:rPr>
      </w:pPr>
      <w:r>
        <w:rPr>
          <w:rFonts w:hint="eastAsia" w:ascii="华文中宋" w:hAnsi="华文中宋" w:eastAsia="华文中宋" w:cs="宋体"/>
          <w:b/>
          <w:bCs/>
          <w:spacing w:val="8"/>
          <w:kern w:val="0"/>
          <w:sz w:val="44"/>
          <w:szCs w:val="44"/>
        </w:rPr>
        <w:t>农业行政执法文书制作规范</w:t>
      </w:r>
    </w:p>
    <w:p>
      <w:pPr>
        <w:keepNext w:val="0"/>
        <w:keepLines w:val="0"/>
        <w:pageBreakBefore w:val="0"/>
        <w:widowControl/>
        <w:tabs>
          <w:tab w:val="center" w:pos="4156"/>
          <w:tab w:val="left" w:pos="6383"/>
        </w:tabs>
        <w:kinsoku/>
        <w:wordWrap/>
        <w:overflowPunct/>
        <w:topLinePunct w:val="0"/>
        <w:autoSpaceDE/>
        <w:autoSpaceDN/>
        <w:bidi w:val="0"/>
        <w:adjustRightInd w:val="0"/>
        <w:snapToGrid w:val="0"/>
        <w:spacing w:line="560" w:lineRule="exact"/>
        <w:textAlignment w:val="auto"/>
        <w:outlineLvl w:val="1"/>
        <w:rPr>
          <w:rFonts w:ascii="黑体" w:hAnsi="黑体" w:eastAsia="黑体" w:cs="宋体"/>
          <w:bCs/>
          <w:spacing w:val="8"/>
          <w:kern w:val="0"/>
          <w:sz w:val="32"/>
          <w:szCs w:val="32"/>
        </w:rPr>
      </w:pPr>
      <w:r>
        <w:rPr>
          <w:rFonts w:ascii="楷体_GB2312" w:hAnsi="仿宋_GB2312" w:eastAsia="楷体_GB2312" w:cs="宋体"/>
          <w:b/>
          <w:spacing w:val="8"/>
          <w:kern w:val="0"/>
          <w:sz w:val="32"/>
          <w:szCs w:val="32"/>
        </w:rPr>
        <w:tab/>
      </w:r>
      <w:bookmarkStart w:id="0" w:name="3"/>
      <w:bookmarkEnd w:id="0"/>
      <w:bookmarkStart w:id="1" w:name="sub4719915_3"/>
      <w:bookmarkEnd w:id="1"/>
    </w:p>
    <w:p>
      <w:pPr>
        <w:keepNext w:val="0"/>
        <w:keepLines w:val="0"/>
        <w:pageBreakBefore w:val="0"/>
        <w:widowControl/>
        <w:tabs>
          <w:tab w:val="center" w:pos="4156"/>
          <w:tab w:val="left" w:pos="6383"/>
        </w:tabs>
        <w:kinsoku/>
        <w:wordWrap/>
        <w:overflowPunct/>
        <w:topLinePunct w:val="0"/>
        <w:autoSpaceDE/>
        <w:autoSpaceDN/>
        <w:bidi w:val="0"/>
        <w:adjustRightInd w:val="0"/>
        <w:snapToGrid w:val="0"/>
        <w:spacing w:line="560" w:lineRule="exact"/>
        <w:jc w:val="center"/>
        <w:textAlignment w:val="auto"/>
        <w:outlineLvl w:val="1"/>
        <w:rPr>
          <w:rFonts w:ascii="黑体" w:hAnsi="黑体" w:eastAsia="黑体" w:cs="宋体"/>
          <w:bCs/>
          <w:spacing w:val="8"/>
          <w:kern w:val="0"/>
          <w:sz w:val="32"/>
          <w:szCs w:val="32"/>
        </w:rPr>
      </w:pPr>
      <w:r>
        <w:rPr>
          <w:rFonts w:ascii="黑体" w:hAnsi="黑体" w:eastAsia="黑体" w:cs="宋体"/>
          <w:bCs/>
          <w:spacing w:val="8"/>
          <w:kern w:val="0"/>
          <w:sz w:val="32"/>
          <w:szCs w:val="32"/>
        </w:rPr>
        <w:t>第一章 总 则</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第一条</w:t>
      </w:r>
      <w:r>
        <w:rPr>
          <w:rFonts w:ascii="仿宋_GB2312" w:hAnsi="仿宋_GB2312" w:eastAsia="仿宋_GB2312" w:cs="宋体"/>
          <w:spacing w:val="8"/>
          <w:kern w:val="0"/>
          <w:sz w:val="32"/>
          <w:szCs w:val="32"/>
        </w:rPr>
        <w:t xml:space="preserve"> 为规范农业行政执法行为，提高农业行政执法文书制作水平，根据</w:t>
      </w:r>
      <w:r>
        <w:rPr>
          <w:rFonts w:hint="eastAsia" w:ascii="仿宋_GB2312" w:hAnsi="仿宋_GB2312" w:eastAsia="仿宋_GB2312" w:cs="宋体"/>
          <w:spacing w:val="8"/>
          <w:kern w:val="0"/>
          <w:sz w:val="32"/>
          <w:szCs w:val="32"/>
        </w:rPr>
        <w:t>《农业行政处罚程序规定》</w:t>
      </w:r>
      <w:r>
        <w:rPr>
          <w:rFonts w:ascii="仿宋_GB2312" w:hAnsi="仿宋_GB2312" w:eastAsia="仿宋_GB2312" w:cs="宋体"/>
          <w:spacing w:val="8"/>
          <w:kern w:val="0"/>
          <w:sz w:val="32"/>
          <w:szCs w:val="32"/>
        </w:rPr>
        <w:t xml:space="preserve">，结合农业行政执法工作实际，制定本规范。 </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第二条</w:t>
      </w:r>
      <w:r>
        <w:rPr>
          <w:rFonts w:hint="eastAsia" w:ascii="仿宋_GB2312" w:hAnsi="仿宋_GB2312" w:eastAsia="仿宋_GB2312" w:cs="宋体"/>
          <w:spacing w:val="8"/>
          <w:kern w:val="0"/>
          <w:sz w:val="32"/>
          <w:szCs w:val="32"/>
        </w:rPr>
        <w:t xml:space="preserve"> </w:t>
      </w:r>
      <w:r>
        <w:rPr>
          <w:rFonts w:ascii="仿宋_GB2312" w:hAnsi="仿宋_GB2312" w:eastAsia="仿宋_GB2312" w:cs="宋体"/>
          <w:spacing w:val="8"/>
          <w:kern w:val="0"/>
          <w:sz w:val="32"/>
          <w:szCs w:val="32"/>
        </w:rPr>
        <w:t>本规范适用于</w:t>
      </w:r>
      <w:r>
        <w:rPr>
          <w:rFonts w:hint="eastAsia" w:ascii="仿宋_GB2312" w:hAnsi="仿宋_GB2312" w:eastAsia="仿宋_GB2312" w:cs="宋体"/>
          <w:spacing w:val="8"/>
          <w:kern w:val="0"/>
          <w:sz w:val="32"/>
          <w:szCs w:val="32"/>
        </w:rPr>
        <w:t>农业行政执法机关在实施行政处罚及其相关的行政执法过程中所使用的</w:t>
      </w:r>
      <w:r>
        <w:rPr>
          <w:rFonts w:ascii="仿宋_GB2312" w:hAnsi="仿宋_GB2312" w:eastAsia="仿宋_GB2312" w:cs="宋体"/>
          <w:spacing w:val="8"/>
          <w:kern w:val="0"/>
          <w:sz w:val="32"/>
          <w:szCs w:val="32"/>
        </w:rPr>
        <w:t>农业行政执法文书的制作。</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本规范所称农业行政执法机关，是指依法行使行政执法权的县级以上人民政府农业农村（农牧、渔业）主管部门。</w:t>
      </w:r>
      <w:r>
        <w:rPr>
          <w:rFonts w:ascii="仿宋_GB2312" w:hAnsi="仿宋_GB2312" w:eastAsia="仿宋_GB2312" w:cs="宋体"/>
          <w:spacing w:val="8"/>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黑体" w:hAnsi="黑体" w:eastAsia="黑体" w:cs="宋体"/>
          <w:spacing w:val="8"/>
          <w:kern w:val="0"/>
          <w:sz w:val="32"/>
          <w:szCs w:val="32"/>
        </w:rPr>
        <w:t xml:space="preserve">第三条 </w:t>
      </w:r>
      <w:r>
        <w:rPr>
          <w:rFonts w:ascii="仿宋_GB2312" w:hAnsi="仿宋_GB2312" w:eastAsia="仿宋_GB2312" w:cs="宋体"/>
          <w:spacing w:val="8"/>
          <w:kern w:val="0"/>
          <w:sz w:val="32"/>
          <w:szCs w:val="32"/>
        </w:rPr>
        <w:t>农业行政执法文书的内容</w:t>
      </w:r>
      <w:r>
        <w:rPr>
          <w:rFonts w:hint="eastAsia" w:ascii="仿宋_GB2312" w:hAnsi="仿宋_GB2312" w:eastAsia="仿宋_GB2312" w:cs="宋体"/>
          <w:spacing w:val="8"/>
          <w:kern w:val="0"/>
          <w:sz w:val="32"/>
          <w:szCs w:val="32"/>
        </w:rPr>
        <w:t>应当</w:t>
      </w:r>
      <w:r>
        <w:rPr>
          <w:rFonts w:ascii="仿宋_GB2312" w:hAnsi="仿宋_GB2312" w:eastAsia="仿宋_GB2312" w:cs="宋体"/>
          <w:spacing w:val="8"/>
          <w:kern w:val="0"/>
          <w:sz w:val="32"/>
          <w:szCs w:val="32"/>
        </w:rPr>
        <w:t>符合有关法律、法规和规章的规定，</w:t>
      </w:r>
      <w:r>
        <w:rPr>
          <w:rFonts w:hint="eastAsia" w:ascii="仿宋_GB2312" w:hAnsi="仿宋_GB2312" w:eastAsia="仿宋_GB2312" w:cs="宋体"/>
          <w:spacing w:val="8"/>
          <w:kern w:val="0"/>
          <w:sz w:val="32"/>
          <w:szCs w:val="32"/>
        </w:rPr>
        <w:t>做到</w:t>
      </w:r>
      <w:r>
        <w:rPr>
          <w:rFonts w:ascii="仿宋_GB2312" w:hAnsi="仿宋_GB2312" w:eastAsia="仿宋_GB2312" w:cs="宋体"/>
          <w:spacing w:val="8"/>
          <w:kern w:val="0"/>
          <w:sz w:val="32"/>
          <w:szCs w:val="32"/>
        </w:rPr>
        <w:t>格式统一、内容完整、表述清楚、</w:t>
      </w:r>
      <w:r>
        <w:rPr>
          <w:rFonts w:hint="eastAsia" w:ascii="仿宋_GB2312" w:hAnsi="仿宋_GB2312" w:eastAsia="仿宋_GB2312" w:cs="宋体"/>
          <w:spacing w:val="8"/>
          <w:kern w:val="0"/>
          <w:sz w:val="32"/>
          <w:szCs w:val="32"/>
        </w:rPr>
        <w:t>逻辑严密、</w:t>
      </w:r>
      <w:r>
        <w:rPr>
          <w:rFonts w:ascii="仿宋_GB2312" w:hAnsi="仿宋_GB2312" w:eastAsia="仿宋_GB2312" w:cs="宋体"/>
          <w:spacing w:val="8"/>
          <w:kern w:val="0"/>
          <w:sz w:val="32"/>
          <w:szCs w:val="32"/>
        </w:rPr>
        <w:t xml:space="preserve">用语规范。 </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　</w:t>
      </w:r>
      <w:r>
        <w:rPr>
          <w:rFonts w:ascii="黑体" w:hAnsi="黑体" w:eastAsia="黑体" w:cs="宋体"/>
          <w:spacing w:val="8"/>
          <w:kern w:val="0"/>
          <w:sz w:val="32"/>
          <w:szCs w:val="32"/>
        </w:rPr>
        <w:t>　第</w:t>
      </w:r>
      <w:r>
        <w:rPr>
          <w:rFonts w:hint="eastAsia" w:ascii="黑体" w:hAnsi="黑体" w:eastAsia="黑体" w:cs="宋体"/>
          <w:spacing w:val="8"/>
          <w:kern w:val="0"/>
          <w:sz w:val="32"/>
          <w:szCs w:val="32"/>
        </w:rPr>
        <w:t>四</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农业行政执法文书分为内部文书和外部文书。 </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内部文书是指</w:t>
      </w:r>
      <w:r>
        <w:rPr>
          <w:rFonts w:hint="eastAsia" w:ascii="仿宋_GB2312" w:hAnsi="仿宋_GB2312" w:eastAsia="仿宋_GB2312" w:cs="宋体"/>
          <w:spacing w:val="8"/>
          <w:kern w:val="0"/>
          <w:sz w:val="32"/>
          <w:szCs w:val="32"/>
        </w:rPr>
        <w:t>农业行政执法机关</w:t>
      </w:r>
      <w:r>
        <w:rPr>
          <w:rFonts w:ascii="仿宋_GB2312" w:hAnsi="仿宋_GB2312" w:eastAsia="仿宋_GB2312" w:cs="宋体"/>
          <w:spacing w:val="8"/>
          <w:kern w:val="0"/>
          <w:sz w:val="32"/>
          <w:szCs w:val="32"/>
        </w:rPr>
        <w:t xml:space="preserve">内部使用，记录内部工作流程，规范执法工作运转程序的文书。 </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外部文书是指农业</w:t>
      </w:r>
      <w:r>
        <w:rPr>
          <w:rFonts w:hint="eastAsia" w:ascii="仿宋_GB2312" w:hAnsi="仿宋_GB2312" w:eastAsia="仿宋_GB2312" w:cs="宋体"/>
          <w:spacing w:val="8"/>
          <w:kern w:val="0"/>
          <w:sz w:val="32"/>
          <w:szCs w:val="32"/>
        </w:rPr>
        <w:t>行政执法</w:t>
      </w:r>
      <w:r>
        <w:rPr>
          <w:rFonts w:ascii="仿宋_GB2312" w:hAnsi="仿宋_GB2312" w:eastAsia="仿宋_GB2312" w:cs="宋体"/>
          <w:spacing w:val="8"/>
          <w:kern w:val="0"/>
          <w:sz w:val="32"/>
          <w:szCs w:val="32"/>
        </w:rPr>
        <w:t>机关对外使用，对</w:t>
      </w:r>
      <w:r>
        <w:rPr>
          <w:rFonts w:hint="eastAsia" w:ascii="仿宋_GB2312" w:hAnsi="仿宋_GB2312" w:eastAsia="仿宋_GB2312" w:cs="宋体"/>
          <w:spacing w:val="8"/>
          <w:kern w:val="0"/>
          <w:sz w:val="32"/>
          <w:szCs w:val="32"/>
        </w:rPr>
        <w:t>农业行政</w:t>
      </w:r>
      <w:r>
        <w:rPr>
          <w:rFonts w:ascii="仿宋_GB2312" w:hAnsi="仿宋_GB2312" w:eastAsia="仿宋_GB2312" w:cs="宋体"/>
          <w:spacing w:val="8"/>
          <w:kern w:val="0"/>
          <w:sz w:val="32"/>
          <w:szCs w:val="32"/>
        </w:rPr>
        <w:t>执法机关和行政相对人均具有法律效力的文书。</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1"/>
        <w:rPr>
          <w:rFonts w:ascii="黑体" w:hAnsi="黑体" w:eastAsia="黑体" w:cs="宋体"/>
          <w:bCs/>
          <w:spacing w:val="8"/>
          <w:kern w:val="0"/>
          <w:sz w:val="32"/>
          <w:szCs w:val="32"/>
        </w:rPr>
      </w:pPr>
      <w:bookmarkStart w:id="2" w:name="4"/>
      <w:bookmarkEnd w:id="2"/>
      <w:bookmarkStart w:id="3" w:name="sub4719915_4"/>
      <w:bookmarkEnd w:id="3"/>
      <w:r>
        <w:rPr>
          <w:rFonts w:ascii="黑体" w:hAnsi="黑体" w:eastAsia="黑体" w:cs="宋体"/>
          <w:bCs/>
          <w:spacing w:val="8"/>
          <w:kern w:val="0"/>
          <w:sz w:val="32"/>
          <w:szCs w:val="32"/>
        </w:rPr>
        <w:t>第二章 文书制作基本要求</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　　</w:t>
      </w: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农业行政执法文书应当按照规定的格式</w:t>
      </w:r>
      <w:r>
        <w:rPr>
          <w:rFonts w:hint="eastAsia" w:ascii="仿宋_GB2312" w:hAnsi="仿宋_GB2312" w:eastAsia="仿宋_GB2312" w:cs="宋体"/>
          <w:spacing w:val="8"/>
          <w:kern w:val="0"/>
          <w:sz w:val="32"/>
          <w:szCs w:val="32"/>
        </w:rPr>
        <w:t>填写或者打印</w:t>
      </w:r>
      <w:r>
        <w:rPr>
          <w:rFonts w:ascii="仿宋_GB2312" w:hAnsi="仿宋_GB2312" w:eastAsia="仿宋_GB2312" w:cs="宋体"/>
          <w:spacing w:val="8"/>
          <w:kern w:val="0"/>
          <w:sz w:val="32"/>
          <w:szCs w:val="32"/>
        </w:rPr>
        <w:t>制作。</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　　</w:t>
      </w:r>
      <w:r>
        <w:rPr>
          <w:rFonts w:hint="eastAsia" w:ascii="仿宋_GB2312" w:hAnsi="仿宋_GB2312" w:eastAsia="仿宋_GB2312" w:cs="宋体"/>
          <w:spacing w:val="8"/>
          <w:kern w:val="0"/>
          <w:sz w:val="32"/>
          <w:szCs w:val="32"/>
        </w:rPr>
        <w:t>填写制作</w:t>
      </w:r>
      <w:r>
        <w:rPr>
          <w:rFonts w:ascii="仿宋_GB2312" w:hAnsi="仿宋_GB2312" w:eastAsia="仿宋_GB2312" w:cs="宋体"/>
          <w:spacing w:val="8"/>
          <w:kern w:val="0"/>
          <w:sz w:val="32"/>
          <w:szCs w:val="32"/>
        </w:rPr>
        <w:t>文书应当使用蓝黑色</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黑色</w:t>
      </w:r>
      <w:r>
        <w:rPr>
          <w:rFonts w:hint="eastAsia" w:ascii="仿宋_GB2312" w:hAnsi="仿宋_GB2312" w:eastAsia="仿宋_GB2312" w:cs="宋体"/>
          <w:spacing w:val="8"/>
          <w:kern w:val="0"/>
          <w:sz w:val="32"/>
          <w:szCs w:val="32"/>
        </w:rPr>
        <w:t>签字笔或者钢笔</w:t>
      </w:r>
      <w:r>
        <w:rPr>
          <w:rFonts w:ascii="仿宋_GB2312" w:hAnsi="仿宋_GB2312" w:eastAsia="仿宋_GB2312" w:cs="宋体"/>
          <w:spacing w:val="8"/>
          <w:kern w:val="0"/>
          <w:sz w:val="32"/>
          <w:szCs w:val="32"/>
        </w:rPr>
        <w:t xml:space="preserve">，做到字迹清楚、文面整洁。 </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适用一般程序作出的行政处罚决定书应当</w:t>
      </w:r>
      <w:r>
        <w:rPr>
          <w:rFonts w:ascii="仿宋_GB2312" w:hAnsi="仿宋_GB2312" w:eastAsia="仿宋_GB2312" w:cs="宋体"/>
          <w:spacing w:val="8"/>
          <w:kern w:val="0"/>
          <w:sz w:val="32"/>
          <w:szCs w:val="32"/>
        </w:rPr>
        <w:t xml:space="preserve">打印制作。 </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 xml:space="preserve">   </w:t>
      </w:r>
      <w:r>
        <w:rPr>
          <w:rFonts w:hint="eastAsia" w:ascii="黑体" w:hAnsi="黑体" w:eastAsia="黑体" w:cs="宋体"/>
          <w:spacing w:val="8"/>
          <w:kern w:val="0"/>
          <w:sz w:val="32"/>
          <w:szCs w:val="32"/>
        </w:rPr>
        <w:t xml:space="preserve"> 第六条</w:t>
      </w:r>
      <w:r>
        <w:rPr>
          <w:rFonts w:hint="eastAsia" w:ascii="仿宋_GB2312" w:hAnsi="仿宋_GB2312" w:eastAsia="仿宋_GB2312" w:cs="宋体"/>
          <w:spacing w:val="8"/>
          <w:kern w:val="0"/>
          <w:sz w:val="32"/>
          <w:szCs w:val="32"/>
        </w:rPr>
        <w:t xml:space="preserve"> </w:t>
      </w:r>
      <w:r>
        <w:rPr>
          <w:rFonts w:ascii="仿宋_GB2312" w:hAnsi="仿宋_GB2312" w:eastAsia="仿宋_GB2312" w:cs="宋体"/>
          <w:spacing w:val="8"/>
          <w:kern w:val="0"/>
          <w:sz w:val="32"/>
          <w:szCs w:val="32"/>
        </w:rPr>
        <w:t>文书设定的栏目</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应当逐项填写，不得遗漏和随意修改</w:t>
      </w:r>
      <w:r>
        <w:rPr>
          <w:rFonts w:hint="eastAsia" w:ascii="仿宋_GB2312" w:hAnsi="仿宋_GB2312" w:eastAsia="仿宋_GB2312" w:cs="宋体"/>
          <w:spacing w:val="8"/>
          <w:kern w:val="0"/>
          <w:sz w:val="32"/>
          <w:szCs w:val="32"/>
        </w:rPr>
        <w:t>；不需要填写的栏目或者空白处</w:t>
      </w:r>
      <w:r>
        <w:rPr>
          <w:rFonts w:ascii="仿宋_GB2312" w:hAnsi="仿宋_GB2312" w:eastAsia="仿宋_GB2312" w:cs="宋体"/>
          <w:spacing w:val="8"/>
          <w:kern w:val="0"/>
          <w:sz w:val="32"/>
          <w:szCs w:val="32"/>
        </w:rPr>
        <w:t>，应当用斜线划去</w:t>
      </w:r>
      <w:r>
        <w:rPr>
          <w:rFonts w:hint="eastAsia" w:ascii="仿宋_GB2312" w:hAnsi="仿宋_GB2312" w:eastAsia="仿宋_GB2312" w:cs="宋体"/>
          <w:spacing w:val="8"/>
          <w:kern w:val="0"/>
          <w:sz w:val="32"/>
          <w:szCs w:val="32"/>
        </w:rPr>
        <w:t>；有选择项的应当将非选择项用斜线划去。</w:t>
      </w:r>
      <w:r>
        <w:rPr>
          <w:rFonts w:ascii="仿宋_GB2312" w:hAnsi="仿宋_GB2312" w:eastAsia="仿宋_GB2312" w:cs="宋体"/>
          <w:spacing w:val="8"/>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七</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文书中出现误写、误算或者其他笔误的，未送达的应当重新制作，已送达的应当及时书面补正。</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黑体" w:hAnsi="黑体" w:eastAsia="黑体" w:cs="宋体"/>
          <w:spacing w:val="8"/>
          <w:kern w:val="0"/>
          <w:sz w:val="32"/>
          <w:szCs w:val="32"/>
        </w:rPr>
        <w:t>第八条</w:t>
      </w:r>
      <w:r>
        <w:rPr>
          <w:rFonts w:hint="eastAsia" w:ascii="仿宋_GB2312" w:hAnsi="仿宋_GB2312" w:eastAsia="仿宋_GB2312" w:cs="宋体"/>
          <w:spacing w:val="8"/>
          <w:kern w:val="0"/>
          <w:sz w:val="32"/>
          <w:szCs w:val="32"/>
        </w:rPr>
        <w:t xml:space="preserve"> 引用法律、法规、规章和规范性文件应当书写全称并加书名号。新法生效后，需要引用旧法的，应当注明。</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引用法律、法规、规章和规范性文件条文有序号的，书写序号应当与法律、法规、规章和规范性文件正式文本中的写法一致。</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引用法律、法规、规章以外的其他公文应当先用书名号引标题，后用圆括号引文号;引用外文应当注明中文译文。</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 xml:space="preserve">    </w:t>
      </w:r>
      <w:r>
        <w:rPr>
          <w:rFonts w:hint="eastAsia" w:ascii="黑体" w:hAnsi="黑体" w:eastAsia="黑体" w:cs="宋体"/>
          <w:spacing w:val="8"/>
          <w:kern w:val="0"/>
          <w:sz w:val="32"/>
          <w:szCs w:val="32"/>
        </w:rPr>
        <w:t>第九条</w:t>
      </w:r>
      <w:r>
        <w:rPr>
          <w:rFonts w:hint="eastAsia" w:ascii="仿宋_GB2312" w:hAnsi="仿宋_GB2312" w:eastAsia="仿宋_GB2312" w:cs="宋体"/>
          <w:spacing w:val="8"/>
          <w:kern w:val="0"/>
          <w:sz w:val="32"/>
          <w:szCs w:val="32"/>
        </w:rPr>
        <w:t xml:space="preserve"> 文书中结构层次序数按实际需要依次以“一、”“（一）”“1．”和“（1）”写明。“（一）”和“（1）”之后不加顿号，结构层次序数中的阿拉伯数字右下用圆点，不用逗号或</w:t>
      </w:r>
      <w:r>
        <w:rPr>
          <w:rFonts w:hint="eastAsia" w:ascii="仿宋_GB2312" w:hAnsi="仿宋_GB2312" w:eastAsia="仿宋_GB2312" w:cs="宋体"/>
          <w:spacing w:val="8"/>
          <w:kern w:val="0"/>
          <w:sz w:val="32"/>
          <w:szCs w:val="32"/>
          <w:lang w:eastAsia="zh-CN"/>
        </w:rPr>
        <w:t>者</w:t>
      </w:r>
      <w:r>
        <w:rPr>
          <w:rFonts w:hint="eastAsia" w:ascii="仿宋_GB2312" w:hAnsi="仿宋_GB2312" w:eastAsia="仿宋_GB2312" w:cs="宋体"/>
          <w:spacing w:val="8"/>
          <w:kern w:val="0"/>
          <w:sz w:val="32"/>
          <w:szCs w:val="32"/>
        </w:rPr>
        <w:t>顿号。</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cs="宋体"/>
          <w:spacing w:val="8"/>
          <w:kern w:val="0"/>
          <w:sz w:val="32"/>
          <w:szCs w:val="32"/>
        </w:rPr>
      </w:pPr>
      <w:r>
        <w:rPr>
          <w:rFonts w:hint="eastAsia" w:ascii="黑体" w:hAnsi="黑体" w:eastAsia="黑体" w:cs="黑体"/>
          <w:bCs/>
          <w:color w:val="FF0000"/>
          <w:spacing w:val="8"/>
          <w:kern w:val="0"/>
          <w:sz w:val="32"/>
          <w:szCs w:val="32"/>
        </w:rPr>
        <w:t xml:space="preserve">    </w:t>
      </w:r>
      <w:r>
        <w:rPr>
          <w:rFonts w:hint="eastAsia" w:ascii="黑体" w:hAnsi="黑体" w:eastAsia="黑体" w:cs="宋体"/>
          <w:spacing w:val="8"/>
          <w:kern w:val="0"/>
          <w:sz w:val="32"/>
          <w:szCs w:val="32"/>
        </w:rPr>
        <w:t>第十条</w:t>
      </w:r>
      <w:r>
        <w:rPr>
          <w:rFonts w:hint="eastAsia" w:ascii="仿宋_GB2312" w:hAnsi="仿宋_GB2312" w:eastAsia="仿宋_GB2312" w:cs="宋体"/>
          <w:spacing w:val="8"/>
          <w:kern w:val="0"/>
          <w:sz w:val="32"/>
          <w:szCs w:val="32"/>
        </w:rPr>
        <w:t xml:space="preserve"> 文书中表述数字，根据国家相关规定和行政执法文书的特点，视不同情况可以分别使用阿拉伯数字或者汉字数字，但应当保持相对统一。</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行政处罚决定书主文需要列条的序号，应当使用汉字数字，如：“一”“二”。</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下列情况，应当使用阿拉伯数字：</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（一）公历世纪、年代、年、月、日及时、分、秒；</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（二）</w:t>
      </w:r>
      <w:r>
        <w:rPr>
          <w:rFonts w:ascii="仿宋_GB2312" w:hAnsi="仿宋_GB2312" w:eastAsia="仿宋_GB2312" w:cs="宋体"/>
          <w:spacing w:val="8"/>
          <w:kern w:val="0"/>
          <w:sz w:val="32"/>
          <w:szCs w:val="32"/>
        </w:rPr>
        <w:t>文书中</w:t>
      </w:r>
      <w:r>
        <w:rPr>
          <w:rFonts w:hint="eastAsia" w:ascii="仿宋_GB2312" w:hAnsi="仿宋_GB2312" w:eastAsia="仿宋_GB2312" w:cs="宋体"/>
          <w:spacing w:val="8"/>
          <w:kern w:val="0"/>
          <w:sz w:val="32"/>
          <w:szCs w:val="32"/>
        </w:rPr>
        <w:t>的案号，如：“延农（农药）立〔2020〕1号”；</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（三）文书中物理量的量值，即表示长度、质量、电流、热力学温度、物质的量和发光强度量等的量值，如：856.80千米、500克；</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（四）文书中非物理量（日常生活中使用的量）的数量，如：48.60元、18岁、10个月；</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（五）文书中的</w:t>
      </w:r>
      <w:r>
        <w:rPr>
          <w:rFonts w:ascii="仿宋_GB2312" w:hAnsi="仿宋_GB2312" w:eastAsia="仿宋_GB2312" w:cs="宋体"/>
          <w:spacing w:val="8"/>
          <w:kern w:val="0"/>
          <w:sz w:val="32"/>
          <w:szCs w:val="32"/>
        </w:rPr>
        <w:t>证件号码、地址门牌号码</w:t>
      </w:r>
      <w:r>
        <w:rPr>
          <w:rFonts w:hint="eastAsia" w:ascii="仿宋_GB2312" w:hAnsi="仿宋_GB2312" w:eastAsia="仿宋_GB2312" w:cs="宋体"/>
          <w:spacing w:val="8"/>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（六）</w:t>
      </w:r>
      <w:r>
        <w:rPr>
          <w:rFonts w:ascii="仿宋_GB2312" w:hAnsi="仿宋_GB2312" w:eastAsia="仿宋_GB2312" w:cs="宋体"/>
          <w:spacing w:val="8"/>
          <w:kern w:val="0"/>
          <w:sz w:val="32"/>
          <w:szCs w:val="32"/>
        </w:rPr>
        <w:t>用“多”“余”“左右”“上下”“约”等表示的约数，如：60余次、约60次</w:t>
      </w:r>
      <w:r>
        <w:rPr>
          <w:rFonts w:hint="eastAsia" w:ascii="仿宋_GB2312" w:hAnsi="仿宋_GB2312" w:eastAsia="仿宋_GB2312" w:cs="宋体"/>
          <w:spacing w:val="8"/>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其他数字的用法应当符合出版物上数字用法国家标准。</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 xml:space="preserve">   </w:t>
      </w:r>
      <w:r>
        <w:rPr>
          <w:rFonts w:hint="eastAsia" w:ascii="黑体" w:hAnsi="黑体" w:eastAsia="黑体" w:cs="宋体"/>
          <w:spacing w:val="8"/>
          <w:kern w:val="0"/>
          <w:sz w:val="32"/>
          <w:szCs w:val="32"/>
        </w:rPr>
        <w:t xml:space="preserve"> 第十一条</w:t>
      </w:r>
      <w:r>
        <w:rPr>
          <w:rFonts w:hint="eastAsia" w:ascii="仿宋_GB2312" w:hAnsi="仿宋_GB2312" w:eastAsia="仿宋_GB2312" w:cs="宋体"/>
          <w:spacing w:val="8"/>
          <w:kern w:val="0"/>
          <w:sz w:val="32"/>
          <w:szCs w:val="32"/>
        </w:rPr>
        <w:t xml:space="preserve"> 文书标点符号的用法应当符合相关国家标准，避免产生歧义。</w:t>
      </w:r>
      <w:r>
        <w:rPr>
          <w:rFonts w:ascii="仿宋_GB2312" w:hAnsi="仿宋_GB2312" w:eastAsia="仿宋_GB2312" w:cs="宋体"/>
          <w:spacing w:val="8"/>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十二</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文书中计量单位应当依照《中华人民共和国法定计量单位》的规定执行，符合以下要求：</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（一）长度单位使用 “米”“海里”“千米（公里）”等，不得使用“公分”“尺”“寸”“分”“</w:t>
      </w:r>
      <w:r>
        <w:rPr>
          <w:rFonts w:hint="eastAsia" w:ascii="微软雅黑" w:hAnsi="微软雅黑" w:eastAsia="微软雅黑" w:cs="微软雅黑"/>
          <w:spacing w:val="8"/>
          <w:kern w:val="0"/>
          <w:sz w:val="32"/>
          <w:szCs w:val="32"/>
        </w:rPr>
        <w:t>吋</w:t>
      </w:r>
      <w:r>
        <w:rPr>
          <w:rFonts w:hint="eastAsia" w:ascii="仿宋_GB2312" w:hAnsi="仿宋_GB2312" w:eastAsia="仿宋_GB2312" w:cs="宋体"/>
          <w:spacing w:val="8"/>
          <w:kern w:val="0"/>
          <w:sz w:val="32"/>
          <w:szCs w:val="32"/>
        </w:rPr>
        <w:t>（英寸）”；</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（二）质量单位使用“克”“千克”“吨”等，不得使用“两”“斤”；</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（三）时间单位使用“秒”“分”“时”“日”“周”“月”“年”，不得使用“点”“刻”；</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（四）体（容）积单位使用“升”“立方米”，不得使用“公升”。</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当事人使用的计量单位不符合前款规定的，应当在文书中据实记录，并在其后注明转换的标准计量单位，用括号括起，如：</w:t>
      </w:r>
      <w:r>
        <w:rPr>
          <w:rFonts w:ascii="仿宋_GB2312" w:hAnsi="仿宋_GB2312" w:eastAsia="仿宋_GB2312" w:cs="宋体"/>
          <w:spacing w:val="8"/>
          <w:kern w:val="0"/>
          <w:sz w:val="32"/>
          <w:szCs w:val="32"/>
        </w:rPr>
        <w:t>3</w:t>
      </w:r>
      <w:r>
        <w:rPr>
          <w:rFonts w:hint="eastAsia" w:ascii="仿宋_GB2312" w:hAnsi="仿宋_GB2312" w:eastAsia="仿宋_GB2312" w:cs="宋体"/>
          <w:spacing w:val="8"/>
          <w:kern w:val="0"/>
          <w:sz w:val="32"/>
          <w:szCs w:val="32"/>
        </w:rPr>
        <w:t>斤（</w:t>
      </w:r>
      <w:r>
        <w:rPr>
          <w:rFonts w:ascii="仿宋_GB2312" w:hAnsi="仿宋_GB2312" w:eastAsia="仿宋_GB2312" w:cs="宋体"/>
          <w:spacing w:val="8"/>
          <w:kern w:val="0"/>
          <w:sz w:val="32"/>
          <w:szCs w:val="32"/>
        </w:rPr>
        <w:t>1.5</w:t>
      </w:r>
      <w:r>
        <w:rPr>
          <w:rFonts w:hint="eastAsia" w:ascii="仿宋_GB2312" w:hAnsi="仿宋_GB2312" w:eastAsia="仿宋_GB2312" w:cs="宋体"/>
          <w:spacing w:val="8"/>
          <w:kern w:val="0"/>
          <w:sz w:val="32"/>
          <w:szCs w:val="32"/>
        </w:rPr>
        <w:t>千克）。</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十三</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文书中</w:t>
      </w:r>
      <w:r>
        <w:rPr>
          <w:rFonts w:hint="eastAsia" w:ascii="仿宋_GB2312" w:hAnsi="仿宋_GB2312" w:eastAsia="仿宋_GB2312" w:cs="宋体"/>
          <w:spacing w:val="8"/>
          <w:kern w:val="0"/>
          <w:sz w:val="32"/>
          <w:szCs w:val="32"/>
        </w:rPr>
        <w:t>案件名称应当填写为：“当事人姓名（名称）+违法行为性质+案”，如：“某某无农药登记证生产农药案”</w:t>
      </w:r>
      <w:r>
        <w:rPr>
          <w:rFonts w:ascii="仿宋_GB2312" w:hAnsi="仿宋_GB2312" w:eastAsia="仿宋_GB2312" w:cs="宋体"/>
          <w:spacing w:val="8"/>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立案和调查取证阶段</w:t>
      </w:r>
      <w:r>
        <w:rPr>
          <w:rFonts w:hint="eastAsia" w:ascii="仿宋_GB2312" w:hAnsi="仿宋_GB2312" w:eastAsia="仿宋_GB2312" w:cs="宋体"/>
          <w:spacing w:val="8"/>
          <w:kern w:val="0"/>
          <w:sz w:val="32"/>
          <w:szCs w:val="32"/>
        </w:rPr>
        <w:t>的</w:t>
      </w:r>
      <w:r>
        <w:rPr>
          <w:rFonts w:ascii="仿宋_GB2312" w:hAnsi="仿宋_GB2312" w:eastAsia="仿宋_GB2312" w:cs="宋体"/>
          <w:spacing w:val="8"/>
          <w:kern w:val="0"/>
          <w:sz w:val="32"/>
          <w:szCs w:val="32"/>
        </w:rPr>
        <w:t>文书</w:t>
      </w:r>
      <w:r>
        <w:rPr>
          <w:rFonts w:hint="eastAsia" w:ascii="仿宋_GB2312" w:hAnsi="仿宋_GB2312" w:eastAsia="仿宋_GB2312" w:cs="宋体"/>
          <w:spacing w:val="8"/>
          <w:kern w:val="0"/>
          <w:sz w:val="32"/>
          <w:szCs w:val="32"/>
        </w:rPr>
        <w:t>，案件名称</w:t>
      </w:r>
      <w:r>
        <w:rPr>
          <w:rFonts w:ascii="仿宋_GB2312" w:hAnsi="仿宋_GB2312" w:eastAsia="仿宋_GB2312" w:cs="宋体"/>
          <w:spacing w:val="8"/>
          <w:kern w:val="0"/>
          <w:sz w:val="32"/>
          <w:szCs w:val="32"/>
        </w:rPr>
        <w:t>应当填写为</w:t>
      </w:r>
      <w:r>
        <w:rPr>
          <w:rFonts w:hint="eastAsia" w:ascii="仿宋_GB2312" w:hAnsi="仿宋_GB2312" w:eastAsia="仿宋_GB2312" w:cs="宋体"/>
          <w:spacing w:val="8"/>
          <w:kern w:val="0"/>
          <w:sz w:val="32"/>
          <w:szCs w:val="32"/>
        </w:rPr>
        <w:t>：“当事人姓名（名称）+涉嫌+违法行为性质+案”，如：“某某涉嫌无农药登记证生产农药案”</w:t>
      </w:r>
      <w:r>
        <w:rPr>
          <w:rFonts w:ascii="仿宋_GB2312" w:hAnsi="仿宋_GB2312" w:eastAsia="仿宋_GB2312" w:cs="宋体"/>
          <w:spacing w:val="8"/>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color w:val="000000" w:themeColor="text1"/>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十四</w:t>
      </w:r>
      <w:r>
        <w:rPr>
          <w:rFonts w:ascii="黑体" w:hAnsi="黑体" w:eastAsia="黑体" w:cs="宋体"/>
          <w:spacing w:val="8"/>
          <w:kern w:val="0"/>
          <w:sz w:val="32"/>
          <w:szCs w:val="32"/>
        </w:rPr>
        <w:t>条</w:t>
      </w:r>
      <w:r>
        <w:rPr>
          <w:rFonts w:hint="eastAsia" w:ascii="仿宋_GB2312" w:hAnsi="仿宋_GB2312" w:eastAsia="仿宋_GB2312" w:cs="Arial Unicode MS"/>
          <w:color w:val="000000" w:themeColor="text1"/>
          <w:sz w:val="32"/>
          <w:szCs w:val="32"/>
          <w:lang w:val="zh-CN"/>
        </w:rPr>
        <w:t xml:space="preserve"> 农业行政执法基本文书应当按照文书格式的要求编注案号。</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十五</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本规范所称案号是指用于区分办理案件的农业行政执法机关类型和次序的简要标识，由中文汉字、阿拉伯数字及括号组成。</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案号的基本要素为行政区划简称、执法机关简称、执法类别简称、行为种类简称、收案年度和收案序号。</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案号各基本要素的编排规格为：</w:t>
      </w:r>
      <w:r>
        <w:rPr>
          <w:rFonts w:ascii="仿宋_GB2312" w:hAnsi="仿宋_GB2312" w:eastAsia="仿宋_GB2312" w:cs="宋体"/>
          <w:spacing w:val="8"/>
          <w:kern w:val="0"/>
          <w:sz w:val="32"/>
          <w:szCs w:val="32"/>
        </w:rPr>
        <w:t>“行政区划简称+执法机关简称</w:t>
      </w:r>
      <w:r>
        <w:rPr>
          <w:rFonts w:hint="eastAsia" w:ascii="仿宋_GB2312" w:hAnsi="仿宋_GB2312" w:eastAsia="仿宋_GB2312" w:cs="宋体"/>
          <w:spacing w:val="8"/>
          <w:kern w:val="0"/>
          <w:sz w:val="32"/>
          <w:szCs w:val="32"/>
        </w:rPr>
        <w:t>+执法类别简称</w:t>
      </w:r>
      <w:r>
        <w:rPr>
          <w:rFonts w:ascii="仿宋_GB2312" w:hAnsi="仿宋_GB2312" w:eastAsia="仿宋_GB2312" w:cs="宋体"/>
          <w:spacing w:val="8"/>
          <w:kern w:val="0"/>
          <w:sz w:val="32"/>
          <w:szCs w:val="32"/>
        </w:rPr>
        <w:t>+</w:t>
      </w:r>
      <w:r>
        <w:rPr>
          <w:rFonts w:hint="eastAsia" w:ascii="仿宋_GB2312" w:hAnsi="仿宋_GB2312" w:eastAsia="仿宋_GB2312" w:cs="宋体"/>
          <w:spacing w:val="8"/>
          <w:kern w:val="0"/>
          <w:sz w:val="32"/>
          <w:szCs w:val="32"/>
        </w:rPr>
        <w:t>行为种类简称（如立、告、罚等）</w:t>
      </w:r>
      <w:r>
        <w:rPr>
          <w:rFonts w:ascii="仿宋_GB2312" w:hAnsi="仿宋_GB2312" w:eastAsia="仿宋_GB2312" w:cs="宋体"/>
          <w:spacing w:val="8"/>
          <w:kern w:val="0"/>
          <w:sz w:val="32"/>
          <w:szCs w:val="32"/>
        </w:rPr>
        <w:t>+</w:t>
      </w:r>
      <w:r>
        <w:rPr>
          <w:rFonts w:hint="eastAsia" w:ascii="仿宋_GB2312" w:hAnsi="仿宋_GB2312" w:eastAsia="仿宋_GB2312" w:cs="宋体"/>
          <w:spacing w:val="8"/>
          <w:kern w:val="0"/>
          <w:sz w:val="32"/>
          <w:szCs w:val="32"/>
        </w:rPr>
        <w:t>收案</w:t>
      </w:r>
      <w:r>
        <w:rPr>
          <w:rFonts w:ascii="仿宋_GB2312" w:hAnsi="仿宋_GB2312" w:eastAsia="仿宋_GB2312" w:cs="宋体"/>
          <w:spacing w:val="8"/>
          <w:kern w:val="0"/>
          <w:sz w:val="32"/>
          <w:szCs w:val="32"/>
        </w:rPr>
        <w:t>年</w:t>
      </w:r>
      <w:r>
        <w:rPr>
          <w:rFonts w:hint="eastAsia" w:ascii="仿宋_GB2312" w:hAnsi="仿宋_GB2312" w:eastAsia="仿宋_GB2312" w:cs="宋体"/>
          <w:spacing w:val="8"/>
          <w:kern w:val="0"/>
          <w:sz w:val="32"/>
          <w:szCs w:val="32"/>
        </w:rPr>
        <w:t>度</w:t>
      </w:r>
      <w:r>
        <w:rPr>
          <w:rFonts w:ascii="仿宋_GB2312" w:hAnsi="仿宋_GB2312" w:eastAsia="仿宋_GB2312" w:cs="宋体"/>
          <w:spacing w:val="8"/>
          <w:kern w:val="0"/>
          <w:sz w:val="32"/>
          <w:szCs w:val="32"/>
        </w:rPr>
        <w:t>+</w:t>
      </w:r>
      <w:r>
        <w:rPr>
          <w:rFonts w:hint="eastAsia" w:ascii="仿宋_GB2312" w:hAnsi="仿宋_GB2312" w:eastAsia="仿宋_GB2312" w:cs="宋体"/>
          <w:spacing w:val="8"/>
          <w:kern w:val="0"/>
          <w:sz w:val="32"/>
          <w:szCs w:val="32"/>
        </w:rPr>
        <w:t>收案</w:t>
      </w:r>
      <w:r>
        <w:rPr>
          <w:rFonts w:ascii="仿宋_GB2312" w:hAnsi="仿宋_GB2312" w:eastAsia="仿宋_GB2312" w:cs="宋体"/>
          <w:spacing w:val="8"/>
          <w:kern w:val="0"/>
          <w:sz w:val="32"/>
          <w:szCs w:val="32"/>
        </w:rPr>
        <w:t>序号”</w:t>
      </w:r>
      <w:r>
        <w:rPr>
          <w:rFonts w:hint="eastAsia" w:ascii="仿宋_GB2312" w:hAnsi="仿宋_GB2312" w:eastAsia="仿宋_GB2312" w:cs="宋体"/>
          <w:spacing w:val="8"/>
          <w:kern w:val="0"/>
          <w:sz w:val="32"/>
          <w:szCs w:val="32"/>
        </w:rPr>
        <w:t>。如：北京市延庆区农业农村局制作的《</w:t>
      </w:r>
      <w:r>
        <w:rPr>
          <w:rFonts w:ascii="仿宋_GB2312" w:hAnsi="仿宋_GB2312" w:eastAsia="仿宋_GB2312" w:cs="宋体"/>
          <w:spacing w:val="8"/>
          <w:kern w:val="0"/>
          <w:sz w:val="32"/>
          <w:szCs w:val="32"/>
        </w:rPr>
        <w:t>行政处罚立案审批表</w:t>
      </w:r>
      <w:r>
        <w:rPr>
          <w:rFonts w:hint="eastAsia" w:ascii="仿宋_GB2312" w:hAnsi="仿宋_GB2312" w:eastAsia="仿宋_GB2312" w:cs="宋体"/>
          <w:spacing w:val="8"/>
          <w:kern w:val="0"/>
          <w:sz w:val="32"/>
          <w:szCs w:val="32"/>
        </w:rPr>
        <w:t>》，案号是“延农（农药）立〔2020〕1号”。特殊情况下，“执法类别”可以省略。</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每个案件编定的案号应当具有唯一性。</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　　</w:t>
      </w:r>
      <w:r>
        <w:rPr>
          <w:rFonts w:ascii="黑体" w:hAnsi="黑体" w:eastAsia="黑体" w:cs="宋体"/>
          <w:spacing w:val="8"/>
          <w:kern w:val="0"/>
          <w:sz w:val="32"/>
          <w:szCs w:val="32"/>
        </w:rPr>
        <w:t>第</w:t>
      </w:r>
      <w:r>
        <w:rPr>
          <w:rFonts w:hint="eastAsia" w:ascii="黑体" w:hAnsi="黑体" w:eastAsia="黑体" w:cs="宋体"/>
          <w:spacing w:val="8"/>
          <w:kern w:val="0"/>
          <w:sz w:val="32"/>
          <w:szCs w:val="32"/>
        </w:rPr>
        <w:t>十六</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ascii="仿宋_GB2312" w:hAnsi="仿宋_GB2312" w:eastAsia="仿宋_GB2312" w:cs="宋体"/>
          <w:spacing w:val="8"/>
          <w:kern w:val="0"/>
          <w:sz w:val="32"/>
          <w:szCs w:val="32"/>
        </w:rPr>
        <w:t>文书中当事人情况应当按</w:t>
      </w:r>
      <w:r>
        <w:rPr>
          <w:rFonts w:hint="eastAsia" w:ascii="仿宋_GB2312" w:hAnsi="仿宋_GB2312" w:eastAsia="仿宋_GB2312" w:cs="宋体"/>
          <w:spacing w:val="8"/>
          <w:kern w:val="0"/>
          <w:sz w:val="32"/>
          <w:szCs w:val="32"/>
        </w:rPr>
        <w:t>以下</w:t>
      </w:r>
      <w:r>
        <w:rPr>
          <w:rFonts w:ascii="仿宋_GB2312" w:hAnsi="仿宋_GB2312" w:eastAsia="仿宋_GB2312" w:cs="宋体"/>
          <w:spacing w:val="8"/>
          <w:kern w:val="0"/>
          <w:sz w:val="32"/>
          <w:szCs w:val="32"/>
        </w:rPr>
        <w:t xml:space="preserve">要求填写： </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　　（一）根据案件情况确定“个人</w:t>
      </w:r>
      <w:r>
        <w:rPr>
          <w:rFonts w:hint="eastAsia" w:ascii="仿宋_GB2312" w:hAnsi="仿宋_GB2312" w:eastAsia="仿宋_GB2312" w:cs="宋体"/>
          <w:spacing w:val="8"/>
          <w:kern w:val="0"/>
          <w:sz w:val="32"/>
          <w:szCs w:val="32"/>
        </w:rPr>
        <w:t>/个体工商户</w:t>
      </w:r>
      <w:r>
        <w:rPr>
          <w:rFonts w:ascii="仿宋_GB2312" w:hAnsi="仿宋_GB2312" w:eastAsia="仿宋_GB2312" w:cs="宋体"/>
          <w:spacing w:val="8"/>
          <w:kern w:val="0"/>
          <w:sz w:val="32"/>
          <w:szCs w:val="32"/>
        </w:rPr>
        <w:t>”或者“单位”</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“个人</w:t>
      </w:r>
      <w:r>
        <w:rPr>
          <w:rFonts w:hint="eastAsia" w:ascii="仿宋_GB2312" w:hAnsi="仿宋_GB2312" w:eastAsia="仿宋_GB2312" w:cs="宋体"/>
          <w:spacing w:val="8"/>
          <w:kern w:val="0"/>
          <w:sz w:val="32"/>
          <w:szCs w:val="32"/>
        </w:rPr>
        <w:t>/个体工商户</w:t>
      </w:r>
      <w:r>
        <w:rPr>
          <w:rFonts w:ascii="仿宋_GB2312" w:hAnsi="仿宋_GB2312" w:eastAsia="仿宋_GB2312" w:cs="宋体"/>
          <w:spacing w:val="8"/>
          <w:kern w:val="0"/>
          <w:sz w:val="32"/>
          <w:szCs w:val="32"/>
        </w:rPr>
        <w:t>”“单位”两栏不能同时填写</w:t>
      </w:r>
      <w:r>
        <w:rPr>
          <w:rFonts w:hint="eastAsia" w:ascii="仿宋_GB2312" w:hAnsi="仿宋_GB2312" w:eastAsia="仿宋_GB2312" w:cs="宋体"/>
          <w:spacing w:val="8"/>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（二）当事人</w:t>
      </w:r>
      <w:r>
        <w:rPr>
          <w:rFonts w:hint="eastAsia" w:ascii="仿宋_GB2312" w:hAnsi="仿宋_GB2312" w:eastAsia="仿宋_GB2312" w:cs="宋体"/>
          <w:spacing w:val="8"/>
          <w:kern w:val="0"/>
          <w:sz w:val="32"/>
          <w:szCs w:val="32"/>
        </w:rPr>
        <w:t>是自然人</w:t>
      </w:r>
      <w:r>
        <w:rPr>
          <w:rFonts w:ascii="仿宋_GB2312" w:hAnsi="仿宋_GB2312" w:eastAsia="仿宋_GB2312" w:cs="宋体"/>
          <w:spacing w:val="8"/>
          <w:kern w:val="0"/>
          <w:sz w:val="32"/>
          <w:szCs w:val="32"/>
        </w:rPr>
        <w:t>的，</w:t>
      </w:r>
      <w:r>
        <w:rPr>
          <w:rFonts w:hint="eastAsia" w:ascii="仿宋_GB2312" w:hAnsi="仿宋_GB2312" w:eastAsia="仿宋_GB2312" w:cs="宋体"/>
          <w:spacing w:val="8"/>
          <w:kern w:val="0"/>
          <w:sz w:val="32"/>
          <w:szCs w:val="32"/>
        </w:rPr>
        <w:t>应当按照身份证或者其他有效证件记载事项填写其姓名、性别、出生年月日、民族、工作单位和职务、住所；当事人工作单位和职务不明确的，可以不填写；当事人住所以其户籍所在地为准；离开户籍所在地有经常居住地的，经常居住地为住所；现住址与住所不一致的，还应当记载其现住址；连续两个当事人的住所相同的，应当分别表述，不得使用“住所同上”的表述；</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（三）</w:t>
      </w:r>
      <w:r>
        <w:rPr>
          <w:rFonts w:hint="eastAsia" w:ascii="仿宋_GB2312" w:hAnsi="仿宋_GB2312" w:eastAsia="仿宋_GB2312" w:cs="宋体"/>
          <w:spacing w:val="8"/>
          <w:kern w:val="0"/>
          <w:sz w:val="32"/>
          <w:szCs w:val="32"/>
        </w:rPr>
        <w:t>当事人是个体工商户的，按照本款第二项的要求写明经营者的基本信息；有字号的，以营业执照上登记的字号为当事人，并写明该字号经营者的基本信息；有统一社会信用代码或者注册码的，应当填写统一社会信用代码或者注册码；</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（四）当事人是起字号的个人合伙的，在其姓名后应当用括号注明“系……(写明字号)合伙人”；</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（五）当事人是法人的，写明名称、统一社会信用代码、住所以及法定代表人的姓名和职务；</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（六）当事人是其他组织的，写明名称、统一社会信用代码、住所以及负责人的姓名和职务。</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个体工商户、个人合伙、法人、其他组织的名称应当写全称，以其注册登记文件记载的内容为准。</w:t>
      </w:r>
      <w:r>
        <w:rPr>
          <w:rFonts w:ascii="仿宋_GB2312" w:hAnsi="仿宋_GB2312" w:eastAsia="仿宋_GB2312" w:cs="宋体"/>
          <w:spacing w:val="8"/>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法人或者其他组织的住所是指法人或者其他组织的注册地或者登记地。</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spacing w:val="8"/>
          <w:sz w:val="32"/>
          <w:szCs w:val="32"/>
        </w:rPr>
      </w:pPr>
      <w:r>
        <w:rPr>
          <w:rFonts w:ascii="黑体" w:hAnsi="黑体" w:eastAsia="黑体"/>
          <w:sz w:val="32"/>
          <w:szCs w:val="32"/>
        </w:rPr>
        <w:t>第</w:t>
      </w:r>
      <w:r>
        <w:rPr>
          <w:rFonts w:hint="eastAsia" w:ascii="黑体" w:hAnsi="黑体" w:eastAsia="黑体"/>
          <w:sz w:val="32"/>
          <w:szCs w:val="32"/>
        </w:rPr>
        <w:t>十七</w:t>
      </w:r>
      <w:r>
        <w:rPr>
          <w:rFonts w:ascii="黑体" w:hAnsi="黑体" w:eastAsia="黑体"/>
          <w:sz w:val="32"/>
          <w:szCs w:val="32"/>
        </w:rPr>
        <w:t>条</w:t>
      </w:r>
      <w:r>
        <w:rPr>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询问笔录</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现场检查（勘验）笔录</w:t>
      </w:r>
      <w:r>
        <w:rPr>
          <w:rFonts w:hint="eastAsia" w:ascii="仿宋_GB2312" w:hAnsi="仿宋_GB2312" w:eastAsia="仿宋_GB2312" w:cs="宋体"/>
          <w:spacing w:val="8"/>
          <w:kern w:val="0"/>
          <w:sz w:val="32"/>
          <w:szCs w:val="32"/>
        </w:rPr>
        <w:t>》《查封（扣押）现场笔录》《</w:t>
      </w:r>
      <w:r>
        <w:rPr>
          <w:rFonts w:ascii="仿宋_GB2312" w:hAnsi="仿宋_GB2312" w:eastAsia="仿宋_GB2312" w:cs="宋体"/>
          <w:spacing w:val="8"/>
          <w:kern w:val="0"/>
          <w:sz w:val="32"/>
          <w:szCs w:val="32"/>
        </w:rPr>
        <w:t>听证笔录</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等文书，</w:t>
      </w:r>
      <w:r>
        <w:rPr>
          <w:rFonts w:hint="eastAsia" w:ascii="仿宋_GB2312" w:hAnsi="仿宋_GB2312" w:eastAsia="仿宋_GB2312" w:cs="宋体"/>
          <w:spacing w:val="8"/>
          <w:kern w:val="0"/>
          <w:sz w:val="32"/>
          <w:szCs w:val="32"/>
        </w:rPr>
        <w:t>应当</w:t>
      </w:r>
      <w:r>
        <w:rPr>
          <w:rFonts w:ascii="仿宋_GB2312" w:hAnsi="仿宋_GB2312" w:eastAsia="仿宋_GB2312" w:cs="宋体"/>
          <w:spacing w:val="8"/>
          <w:kern w:val="0"/>
          <w:sz w:val="32"/>
          <w:szCs w:val="32"/>
        </w:rPr>
        <w:t>当场交当事人阅读或者向当事人宣读，并由当事人逐页签字</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盖章或者</w:t>
      </w:r>
      <w:r>
        <w:rPr>
          <w:rFonts w:hint="eastAsia" w:ascii="仿宋_GB2312" w:hAnsi="仿宋_GB2312" w:eastAsia="仿宋_GB2312" w:cs="宋体"/>
          <w:spacing w:val="8"/>
          <w:kern w:val="0"/>
          <w:sz w:val="32"/>
          <w:szCs w:val="32"/>
        </w:rPr>
        <w:t>按指纹等方式</w:t>
      </w:r>
      <w:r>
        <w:rPr>
          <w:rFonts w:ascii="仿宋_GB2312" w:hAnsi="仿宋_GB2312" w:eastAsia="仿宋_GB2312" w:cs="宋体"/>
          <w:spacing w:val="8"/>
          <w:kern w:val="0"/>
          <w:sz w:val="32"/>
          <w:szCs w:val="32"/>
        </w:rPr>
        <w:t>确认。</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无法通知当事人，当事人不到场或者拒绝接受调查，以及当事人拒绝签名、盖章或者以按指纹等方式确认的，办案人员应当在笔录上注明情况，并采取录音、录像等方式记录，必要时可邀请基层组织或者所在单位的代表等有关人员作为见证人。邀请见证人到场的，应当填写见证人身份信息，并由见证人逐页签名。执法</w:t>
      </w:r>
      <w:r>
        <w:rPr>
          <w:rFonts w:ascii="仿宋_GB2312" w:hAnsi="仿宋_GB2312" w:eastAsia="仿宋_GB2312" w:cs="宋体"/>
          <w:spacing w:val="8"/>
          <w:kern w:val="0"/>
          <w:sz w:val="32"/>
          <w:szCs w:val="32"/>
        </w:rPr>
        <w:t>人员也应当在笔录上逐页签名。</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笔录最后一行文字后</w:t>
      </w:r>
      <w:r>
        <w:rPr>
          <w:rFonts w:hint="eastAsia" w:ascii="仿宋_GB2312" w:hAnsi="仿宋_GB2312" w:eastAsia="仿宋_GB2312" w:cs="宋体"/>
          <w:spacing w:val="8"/>
          <w:kern w:val="0"/>
          <w:sz w:val="32"/>
          <w:szCs w:val="32"/>
        </w:rPr>
        <w:t>如</w:t>
      </w:r>
      <w:r>
        <w:rPr>
          <w:rFonts w:ascii="仿宋_GB2312" w:hAnsi="仿宋_GB2312" w:eastAsia="仿宋_GB2312" w:cs="宋体"/>
          <w:spacing w:val="8"/>
          <w:kern w:val="0"/>
          <w:sz w:val="32"/>
          <w:szCs w:val="32"/>
        </w:rPr>
        <w:t>有空白，应当在最后一行文字后加上“以下空白”字样。</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笔</w:t>
      </w:r>
      <w:r>
        <w:rPr>
          <w:rFonts w:ascii="仿宋_GB2312" w:hAnsi="仿宋_GB2312" w:eastAsia="仿宋_GB2312" w:cs="宋体"/>
          <w:spacing w:val="8"/>
          <w:kern w:val="0"/>
          <w:sz w:val="32"/>
          <w:szCs w:val="32"/>
        </w:rPr>
        <w:t>录</w:t>
      </w:r>
      <w:r>
        <w:rPr>
          <w:rFonts w:hint="eastAsia" w:ascii="仿宋_GB2312" w:hAnsi="仿宋_GB2312" w:eastAsia="仿宋_GB2312" w:cs="宋体"/>
          <w:spacing w:val="8"/>
          <w:kern w:val="0"/>
          <w:sz w:val="32"/>
          <w:szCs w:val="32"/>
        </w:rPr>
        <w:t>需要更正的，涂改部分当事人应当以签名、盖章或者以按指纹等方式确认。</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仿宋_GB2312"/>
          <w:bCs/>
          <w:spacing w:val="8"/>
          <w:kern w:val="0"/>
          <w:sz w:val="32"/>
          <w:szCs w:val="32"/>
        </w:rPr>
      </w:pPr>
      <w:r>
        <w:rPr>
          <w:rFonts w:hint="eastAsia" w:ascii="黑体" w:hAnsi="黑体" w:eastAsia="黑体" w:cs="宋体"/>
          <w:spacing w:val="8"/>
          <w:kern w:val="0"/>
          <w:sz w:val="32"/>
          <w:szCs w:val="32"/>
        </w:rPr>
        <w:t>第十八条</w:t>
      </w:r>
      <w:r>
        <w:rPr>
          <w:rFonts w:hint="eastAsia" w:ascii="仿宋_GB2312" w:hAnsi="仿宋_GB2312" w:eastAsia="仿宋_GB2312" w:cs="仿宋_GB2312"/>
          <w:bCs/>
          <w:spacing w:val="8"/>
          <w:kern w:val="0"/>
          <w:sz w:val="32"/>
          <w:szCs w:val="32"/>
        </w:rPr>
        <w:t xml:space="preserve"> 文书首页不够记录时，可以附纸记录，但应当注明页码，由执法人员和当事人逐页签名，并注明日期。 </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黑体" w:hAnsi="黑体" w:eastAsia="黑体" w:cs="黑体"/>
          <w:bCs/>
          <w:spacing w:val="8"/>
          <w:kern w:val="0"/>
          <w:sz w:val="32"/>
          <w:szCs w:val="32"/>
        </w:rPr>
      </w:pPr>
      <w:r>
        <w:rPr>
          <w:rFonts w:hint="eastAsia" w:ascii="黑体" w:hAnsi="黑体" w:eastAsia="黑体" w:cs="黑体"/>
          <w:bCs/>
          <w:spacing w:val="8"/>
          <w:kern w:val="0"/>
          <w:sz w:val="32"/>
          <w:szCs w:val="32"/>
        </w:rPr>
        <w:t xml:space="preserve">第十九条 </w:t>
      </w:r>
      <w:r>
        <w:rPr>
          <w:rFonts w:hint="eastAsia" w:ascii="仿宋_GB2312" w:hAnsi="仿宋_GB2312" w:eastAsia="仿宋_GB2312" w:cs="仿宋_GB2312"/>
          <w:spacing w:val="8"/>
          <w:kern w:val="0"/>
          <w:sz w:val="32"/>
          <w:szCs w:val="32"/>
        </w:rPr>
        <w:t>文书中执法机构、法制机构、执法机关的审核或者审批意见应当表述明确，没有歧义。</w:t>
      </w:r>
    </w:p>
    <w:p>
      <w:pPr>
        <w:keepNext w:val="0"/>
        <w:keepLines w:val="0"/>
        <w:pageBreakBefore w:val="0"/>
        <w:widowControl/>
        <w:kinsoku/>
        <w:wordWrap/>
        <w:overflowPunct/>
        <w:topLinePunct w:val="0"/>
        <w:autoSpaceDE/>
        <w:autoSpaceDN/>
        <w:bidi w:val="0"/>
        <w:adjustRightInd w:val="0"/>
        <w:snapToGrid w:val="0"/>
        <w:spacing w:line="560" w:lineRule="exact"/>
        <w:ind w:firstLine="675"/>
        <w:textAlignment w:val="auto"/>
        <w:rPr>
          <w:rFonts w:ascii="仿宋_GB2312" w:hAnsi="仿宋_GB2312" w:eastAsia="仿宋_GB2312" w:cs="仿宋_GB2312"/>
          <w:color w:val="000000" w:themeColor="text1"/>
          <w:spacing w:val="8"/>
          <w:kern w:val="0"/>
          <w:sz w:val="32"/>
          <w:szCs w:val="32"/>
        </w:rPr>
      </w:pPr>
      <w:r>
        <w:rPr>
          <w:rFonts w:hint="eastAsia" w:ascii="黑体" w:hAnsi="黑体" w:eastAsia="黑体" w:cs="黑体"/>
          <w:bCs/>
          <w:spacing w:val="8"/>
          <w:kern w:val="0"/>
          <w:sz w:val="32"/>
          <w:szCs w:val="32"/>
        </w:rPr>
        <w:t xml:space="preserve">第二十条 </w:t>
      </w:r>
      <w:r>
        <w:rPr>
          <w:rFonts w:hint="eastAsia" w:ascii="仿宋_GB2312" w:hAnsi="仿宋_GB2312" w:eastAsia="仿宋_GB2312" w:cs="仿宋_GB2312"/>
          <w:color w:val="000000" w:themeColor="text1"/>
          <w:spacing w:val="8"/>
          <w:kern w:val="0"/>
          <w:sz w:val="32"/>
          <w:szCs w:val="32"/>
        </w:rPr>
        <w:t>直接送达、留置送达、转交送达、委托送达当事人的外部文书应当使用《送达回证》。</w:t>
      </w:r>
    </w:p>
    <w:p>
      <w:pPr>
        <w:keepNext w:val="0"/>
        <w:keepLines w:val="0"/>
        <w:pageBreakBefore w:val="0"/>
        <w:widowControl/>
        <w:kinsoku/>
        <w:wordWrap/>
        <w:overflowPunct/>
        <w:topLinePunct w:val="0"/>
        <w:autoSpaceDE/>
        <w:autoSpaceDN/>
        <w:bidi w:val="0"/>
        <w:adjustRightInd w:val="0"/>
        <w:snapToGrid w:val="0"/>
        <w:spacing w:line="560" w:lineRule="exact"/>
        <w:ind w:firstLine="675"/>
        <w:textAlignment w:val="auto"/>
        <w:rPr>
          <w:rFonts w:hint="default" w:ascii="仿宋_GB2312" w:hAnsi="仿宋_GB2312" w:eastAsia="仿宋_GB2312" w:cs="仿宋_GB2312"/>
          <w:spacing w:val="8"/>
          <w:kern w:val="0"/>
          <w:sz w:val="32"/>
          <w:szCs w:val="32"/>
          <w:lang w:val="en-US" w:eastAsia="zh-CN"/>
        </w:rPr>
      </w:pPr>
      <w:r>
        <w:rPr>
          <w:rFonts w:hint="eastAsia" w:ascii="黑体" w:hAnsi="黑体" w:eastAsia="黑体" w:cs="黑体"/>
          <w:bCs/>
          <w:spacing w:val="8"/>
          <w:kern w:val="0"/>
          <w:sz w:val="32"/>
          <w:szCs w:val="32"/>
        </w:rPr>
        <w:t xml:space="preserve">第二十一条 </w:t>
      </w:r>
      <w:r>
        <w:rPr>
          <w:rFonts w:hint="eastAsia" w:ascii="仿宋_GB2312" w:hAnsi="仿宋_GB2312" w:eastAsia="仿宋_GB2312" w:cs="仿宋_GB2312"/>
          <w:spacing w:val="8"/>
          <w:kern w:val="0"/>
          <w:sz w:val="32"/>
          <w:szCs w:val="32"/>
        </w:rPr>
        <w:t>文书中注明加盖执法机关印章的地方应当有执法机</w:t>
      </w:r>
      <w:r>
        <w:rPr>
          <w:rFonts w:hint="eastAsia" w:ascii="仿宋_GB2312" w:hAnsi="仿宋_GB2312" w:eastAsia="仿宋_GB2312" w:cs="仿宋_GB2312"/>
          <w:color w:val="000000" w:themeColor="text1"/>
          <w:spacing w:val="8"/>
          <w:kern w:val="0"/>
          <w:sz w:val="32"/>
          <w:szCs w:val="32"/>
        </w:rPr>
        <w:t>关名称并</w:t>
      </w:r>
      <w:r>
        <w:rPr>
          <w:rFonts w:hint="eastAsia" w:ascii="仿宋_GB2312" w:hAnsi="仿宋_GB2312" w:eastAsia="仿宋_GB2312" w:cs="仿宋_GB2312"/>
          <w:spacing w:val="8"/>
          <w:kern w:val="0"/>
          <w:sz w:val="32"/>
          <w:szCs w:val="32"/>
        </w:rPr>
        <w:t>加盖印章，加盖印章应当清晰、端正，并“骑年盖月”。</w:t>
      </w:r>
      <w:r>
        <w:rPr>
          <w:rFonts w:hint="eastAsia" w:ascii="仿宋_GB2312" w:hAnsi="仿宋_GB2312" w:eastAsia="仿宋_GB2312" w:cs="仿宋_GB2312"/>
          <w:spacing w:val="8"/>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75"/>
        <w:textAlignment w:val="auto"/>
        <w:rPr>
          <w:rFonts w:ascii="黑体" w:hAnsi="黑体" w:eastAsia="黑体" w:cs="黑体"/>
          <w:bCs/>
          <w:spacing w:val="8"/>
          <w:kern w:val="0"/>
          <w:sz w:val="32"/>
          <w:szCs w:val="32"/>
        </w:rPr>
      </w:pPr>
      <w:r>
        <w:rPr>
          <w:rFonts w:hint="eastAsia" w:ascii="仿宋_GB2312" w:hAnsi="仿宋_GB2312" w:eastAsia="仿宋_GB2312" w:cs="仿宋_GB2312"/>
          <w:spacing w:val="8"/>
          <w:kern w:val="0"/>
          <w:sz w:val="32"/>
          <w:szCs w:val="32"/>
        </w:rPr>
        <w:t>前款规定的印章，包括执法机关依照有关规定制作的行政执法或</w:t>
      </w:r>
      <w:r>
        <w:rPr>
          <w:rFonts w:hint="eastAsia" w:ascii="仿宋_GB2312" w:hAnsi="仿宋_GB2312" w:eastAsia="仿宋_GB2312" w:cs="仿宋_GB2312"/>
          <w:spacing w:val="8"/>
          <w:kern w:val="0"/>
          <w:sz w:val="32"/>
          <w:szCs w:val="32"/>
          <w:lang w:eastAsia="zh-CN"/>
        </w:rPr>
        <w:t>者</w:t>
      </w:r>
      <w:r>
        <w:rPr>
          <w:rFonts w:hint="eastAsia" w:ascii="仿宋_GB2312" w:hAnsi="仿宋_GB2312" w:eastAsia="仿宋_GB2312" w:cs="仿宋_GB2312"/>
          <w:spacing w:val="8"/>
          <w:kern w:val="0"/>
          <w:sz w:val="32"/>
          <w:szCs w:val="32"/>
        </w:rPr>
        <w:t>处罚专用章。</w:t>
      </w:r>
    </w:p>
    <w:p>
      <w:pPr>
        <w:keepNext w:val="0"/>
        <w:keepLines w:val="0"/>
        <w:pageBreakBefore w:val="0"/>
        <w:widowControl/>
        <w:numPr>
          <w:ilvl w:val="0"/>
          <w:numId w:val="1"/>
        </w:numPr>
        <w:kinsoku/>
        <w:wordWrap/>
        <w:overflowPunct/>
        <w:topLinePunct w:val="0"/>
        <w:autoSpaceDE/>
        <w:autoSpaceDN/>
        <w:bidi w:val="0"/>
        <w:adjustRightInd w:val="0"/>
        <w:snapToGrid w:val="0"/>
        <w:spacing w:line="560" w:lineRule="exact"/>
        <w:jc w:val="center"/>
        <w:textAlignment w:val="auto"/>
        <w:outlineLvl w:val="1"/>
        <w:rPr>
          <w:rFonts w:ascii="黑体" w:hAnsi="黑体" w:eastAsia="黑体" w:cs="黑体"/>
          <w:bCs/>
          <w:spacing w:val="8"/>
          <w:kern w:val="0"/>
          <w:sz w:val="32"/>
          <w:szCs w:val="32"/>
        </w:rPr>
      </w:pPr>
      <w:bookmarkStart w:id="4" w:name="5"/>
      <w:bookmarkEnd w:id="4"/>
      <w:bookmarkStart w:id="5" w:name="sub4719915_5"/>
      <w:bookmarkEnd w:id="5"/>
      <w:r>
        <w:rPr>
          <w:rFonts w:hint="eastAsia" w:ascii="黑体" w:hAnsi="黑体" w:eastAsia="黑体" w:cs="黑体"/>
          <w:bCs/>
          <w:spacing w:val="8"/>
          <w:kern w:val="0"/>
          <w:sz w:val="32"/>
          <w:szCs w:val="32"/>
        </w:rPr>
        <w:t>文书类型及制作</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二十二</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《指定管辖通知书》是上级农业行政执法机关指定下级农业行政执法机关对具体案件行使管辖权时使用的文书。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二十三</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《案件交办通知书》是上级农业行政执法机关将本机关管辖的案件交由下级农业行政执法机关管辖时使用的文书。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《案件交办通知书》应当附有违法案件线索、证据等相关材料。所附材料、证据可以作为附件逐一列明，也可以另附清单。</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二十四</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《协助调查函》是农业行政执法机关办理跨行政区域案件时，需要其他地区农业行政执法机关协助调查与案件有关的特定事项时使用的文书。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协助调查函应当写明案件名称、需要协助调查的原因、请求协助调查的事项，并附有关材料。</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二十五</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《协助调查结果告知函》是协助调查案件的农业行政执法机关告知请求协助调查的农业行政执法机关协助调查结果时使用的文书。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二十六</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《案件移送函》是农业行政执法机关依法将案件或者违法线索移送有管辖权的行政机关处理时使用的文书。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sz w:val="32"/>
          <w:szCs w:val="32"/>
        </w:rPr>
      </w:pPr>
      <w:r>
        <w:rPr>
          <w:rFonts w:hint="eastAsia" w:ascii="仿宋_GB2312" w:hAnsi="仿宋_GB2312" w:eastAsia="仿宋_GB2312"/>
          <w:sz w:val="32"/>
          <w:szCs w:val="32"/>
        </w:rPr>
        <w:t>《案件移送函》应当写明移送的原因，包括法律、法规、规章等关于执法职责、地域管辖、级别管辖、特殊管辖等具体规定。</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《案件移送函》应当附上与案件相关的全部材料。</w:t>
      </w:r>
      <w:r>
        <w:rPr>
          <w:rFonts w:ascii="仿宋_GB2312" w:hAnsi="仿宋_GB2312" w:eastAsia="仿宋_GB2312" w:cs="宋体"/>
          <w:spacing w:val="8"/>
          <w:kern w:val="0"/>
          <w:sz w:val="32"/>
          <w:szCs w:val="32"/>
        </w:rPr>
        <w:t>所附材料可以作为附件逐一列明，也可以另附清单。</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二十七</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《涉嫌犯罪案件移送书》是农业行政执法机关在查处违法行为过程中发现违法行为涉嫌犯罪，依法将案件移送司法机关时使用的文书。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《涉嫌犯罪案件移送书》应当附有涉嫌犯罪案件情况调查报告、涉案物品清单、有关检验报告或者鉴定意见及其他有关涉嫌犯罪的全部证据材料。</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农业行政执法机关在向司法机关移送涉嫌犯罪证据材料时，应当复制并保存相关证据和案卷材料。</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二十八</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当场</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处罚决定书</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是指农业</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执法机关</w:t>
      </w:r>
      <w:r>
        <w:rPr>
          <w:rFonts w:hint="eastAsia" w:ascii="仿宋_GB2312" w:hAnsi="仿宋_GB2312" w:eastAsia="仿宋_GB2312" w:cs="宋体"/>
          <w:spacing w:val="8"/>
          <w:kern w:val="0"/>
          <w:sz w:val="32"/>
          <w:szCs w:val="32"/>
        </w:rPr>
        <w:t>依法对违法行为人当</w:t>
      </w:r>
      <w:r>
        <w:rPr>
          <w:rFonts w:ascii="仿宋_GB2312" w:hAnsi="仿宋_GB2312" w:eastAsia="仿宋_GB2312" w:cs="宋体"/>
          <w:spacing w:val="8"/>
          <w:kern w:val="0"/>
          <w:sz w:val="32"/>
          <w:szCs w:val="32"/>
        </w:rPr>
        <w:t>场作出</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处罚决定</w:t>
      </w:r>
      <w:r>
        <w:rPr>
          <w:rFonts w:hint="eastAsia" w:ascii="仿宋_GB2312" w:hAnsi="仿宋_GB2312" w:eastAsia="仿宋_GB2312" w:cs="宋体"/>
          <w:spacing w:val="8"/>
          <w:kern w:val="0"/>
          <w:sz w:val="32"/>
          <w:szCs w:val="32"/>
        </w:rPr>
        <w:t>时使用</w:t>
      </w:r>
      <w:r>
        <w:rPr>
          <w:rFonts w:ascii="仿宋_GB2312" w:hAnsi="仿宋_GB2312" w:eastAsia="仿宋_GB2312" w:cs="宋体"/>
          <w:spacing w:val="8"/>
          <w:kern w:val="0"/>
          <w:sz w:val="32"/>
          <w:szCs w:val="32"/>
        </w:rPr>
        <w:t xml:space="preserve">的文书。 </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执法人员当场作出行政处罚决定的，应当向当事人出示执法证件，填写《</w:t>
      </w:r>
      <w:r>
        <w:rPr>
          <w:rFonts w:ascii="仿宋_GB2312" w:hAnsi="仿宋_GB2312" w:eastAsia="仿宋_GB2312" w:cs="宋体"/>
          <w:spacing w:val="8"/>
          <w:kern w:val="0"/>
          <w:sz w:val="32"/>
          <w:szCs w:val="32"/>
        </w:rPr>
        <w:t>当场</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处罚决定书</w:t>
      </w:r>
      <w:r>
        <w:rPr>
          <w:rFonts w:hint="eastAsia" w:ascii="仿宋_GB2312" w:hAnsi="仿宋_GB2312" w:eastAsia="仿宋_GB2312" w:cs="宋体"/>
          <w:spacing w:val="8"/>
          <w:kern w:val="0"/>
          <w:sz w:val="32"/>
          <w:szCs w:val="32"/>
        </w:rPr>
        <w:t>》并当场交付当事人。</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 xml:space="preserve">   </w:t>
      </w:r>
      <w:r>
        <w:rPr>
          <w:rFonts w:ascii="仿宋_GB2312" w:hAnsi="仿宋_GB2312" w:eastAsia="仿宋_GB2312" w:cs="宋体"/>
          <w:spacing w:val="8"/>
          <w:kern w:val="0"/>
          <w:sz w:val="32"/>
          <w:szCs w:val="32"/>
        </w:rPr>
        <w:t>“违法事实”栏应当写明违法行为</w:t>
      </w:r>
      <w:r>
        <w:rPr>
          <w:rFonts w:hint="eastAsia" w:ascii="仿宋_GB2312" w:hAnsi="仿宋_GB2312" w:eastAsia="仿宋_GB2312" w:cs="宋体"/>
          <w:spacing w:val="8"/>
          <w:kern w:val="0"/>
          <w:sz w:val="32"/>
          <w:szCs w:val="32"/>
        </w:rPr>
        <w:t>的</w:t>
      </w:r>
      <w:r>
        <w:rPr>
          <w:rFonts w:ascii="仿宋_GB2312" w:hAnsi="仿宋_GB2312" w:eastAsia="仿宋_GB2312" w:cs="宋体"/>
          <w:spacing w:val="8"/>
          <w:kern w:val="0"/>
          <w:sz w:val="32"/>
          <w:szCs w:val="32"/>
        </w:rPr>
        <w:t>发生</w:t>
      </w:r>
      <w:r>
        <w:rPr>
          <w:rFonts w:hint="eastAsia" w:ascii="仿宋_GB2312" w:hAnsi="仿宋_GB2312" w:eastAsia="仿宋_GB2312" w:cs="宋体"/>
          <w:spacing w:val="8"/>
          <w:kern w:val="0"/>
          <w:sz w:val="32"/>
          <w:szCs w:val="32"/>
        </w:rPr>
        <w:t>时间和</w:t>
      </w:r>
      <w:r>
        <w:rPr>
          <w:rFonts w:ascii="仿宋_GB2312" w:hAnsi="仿宋_GB2312" w:eastAsia="仿宋_GB2312" w:cs="宋体"/>
          <w:spacing w:val="8"/>
          <w:kern w:val="0"/>
          <w:sz w:val="32"/>
          <w:szCs w:val="32"/>
        </w:rPr>
        <w:t>地点、</w:t>
      </w:r>
      <w:r>
        <w:rPr>
          <w:rFonts w:hint="eastAsia" w:ascii="仿宋_GB2312" w:hAnsi="仿宋_GB2312" w:eastAsia="仿宋_GB2312" w:cs="宋体"/>
          <w:spacing w:val="8"/>
          <w:kern w:val="0"/>
          <w:sz w:val="32"/>
          <w:szCs w:val="32"/>
        </w:rPr>
        <w:t>违法情节、</w:t>
      </w:r>
      <w:r>
        <w:rPr>
          <w:rFonts w:ascii="仿宋_GB2312" w:hAnsi="仿宋_GB2312" w:eastAsia="仿宋_GB2312" w:cs="宋体"/>
          <w:spacing w:val="8"/>
          <w:kern w:val="0"/>
          <w:sz w:val="32"/>
          <w:szCs w:val="32"/>
        </w:rPr>
        <w:t>违法行为的</w:t>
      </w:r>
      <w:r>
        <w:rPr>
          <w:rFonts w:hint="eastAsia" w:ascii="仿宋_GB2312" w:hAnsi="仿宋_GB2312" w:eastAsia="仿宋_GB2312" w:cs="宋体"/>
          <w:spacing w:val="8"/>
          <w:kern w:val="0"/>
          <w:sz w:val="32"/>
          <w:szCs w:val="32"/>
        </w:rPr>
        <w:t>定性</w:t>
      </w:r>
      <w:r>
        <w:rPr>
          <w:rFonts w:ascii="仿宋_GB2312" w:hAnsi="仿宋_GB2312" w:eastAsia="仿宋_GB2312" w:cs="宋体"/>
          <w:spacing w:val="8"/>
          <w:kern w:val="0"/>
          <w:sz w:val="32"/>
          <w:szCs w:val="32"/>
        </w:rPr>
        <w:t xml:space="preserve">等情况。 </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 xml:space="preserve">   </w:t>
      </w:r>
      <w:r>
        <w:rPr>
          <w:rFonts w:ascii="仿宋_GB2312" w:hAnsi="仿宋_GB2312" w:eastAsia="仿宋_GB2312" w:cs="宋体"/>
          <w:spacing w:val="8"/>
          <w:kern w:val="0"/>
          <w:sz w:val="32"/>
          <w:szCs w:val="32"/>
        </w:rPr>
        <w:t>“处罚依据及内容”栏应当写明作出处罚所依据的法律、法规</w:t>
      </w:r>
      <w:r>
        <w:rPr>
          <w:rFonts w:hint="eastAsia" w:ascii="仿宋_GB2312" w:hAnsi="仿宋_GB2312" w:eastAsia="仿宋_GB2312" w:cs="宋体"/>
          <w:spacing w:val="8"/>
          <w:kern w:val="0"/>
          <w:sz w:val="32"/>
          <w:szCs w:val="32"/>
        </w:rPr>
        <w:t>和规章</w:t>
      </w:r>
      <w:r>
        <w:rPr>
          <w:rFonts w:ascii="仿宋_GB2312" w:hAnsi="仿宋_GB2312" w:eastAsia="仿宋_GB2312" w:cs="宋体"/>
          <w:spacing w:val="8"/>
          <w:kern w:val="0"/>
          <w:sz w:val="32"/>
          <w:szCs w:val="32"/>
        </w:rPr>
        <w:t>的全称并具体到条、款、项、目</w:t>
      </w:r>
      <w:r>
        <w:rPr>
          <w:rFonts w:hint="eastAsia" w:ascii="仿宋_GB2312" w:hAnsi="仿宋_GB2312" w:eastAsia="仿宋_GB2312" w:cs="宋体"/>
          <w:spacing w:val="8"/>
          <w:kern w:val="0"/>
          <w:sz w:val="32"/>
          <w:szCs w:val="32"/>
        </w:rPr>
        <w:t>以及</w:t>
      </w:r>
      <w:r>
        <w:rPr>
          <w:rFonts w:ascii="仿宋_GB2312" w:hAnsi="仿宋_GB2312" w:eastAsia="仿宋_GB2312" w:cs="宋体"/>
          <w:spacing w:val="8"/>
          <w:kern w:val="0"/>
          <w:sz w:val="32"/>
          <w:szCs w:val="32"/>
        </w:rPr>
        <w:t>处罚</w:t>
      </w:r>
      <w:r>
        <w:rPr>
          <w:rFonts w:hint="eastAsia" w:ascii="仿宋_GB2312" w:hAnsi="仿宋_GB2312" w:eastAsia="仿宋_GB2312" w:cs="宋体"/>
          <w:spacing w:val="8"/>
          <w:kern w:val="0"/>
          <w:sz w:val="32"/>
          <w:szCs w:val="32"/>
        </w:rPr>
        <w:t>的具体</w:t>
      </w:r>
      <w:r>
        <w:rPr>
          <w:rFonts w:ascii="仿宋_GB2312" w:hAnsi="仿宋_GB2312" w:eastAsia="仿宋_GB2312" w:cs="宋体"/>
          <w:spacing w:val="8"/>
          <w:kern w:val="0"/>
          <w:sz w:val="32"/>
          <w:szCs w:val="32"/>
        </w:rPr>
        <w:t>内容。</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 xml:space="preserve">    书写罚没款金额应当填写正确，不得涂改。罚款缴纳方式为交至代收机构的，应当写明代收机构名称、地址等。</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二十九</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《行政处罚</w:t>
      </w:r>
      <w:r>
        <w:rPr>
          <w:rFonts w:ascii="仿宋_GB2312" w:hAnsi="仿宋_GB2312" w:eastAsia="仿宋_GB2312" w:cs="宋体"/>
          <w:spacing w:val="8"/>
          <w:kern w:val="0"/>
          <w:sz w:val="32"/>
          <w:szCs w:val="32"/>
        </w:rPr>
        <w:t>立案</w:t>
      </w:r>
      <w:r>
        <w:rPr>
          <w:rFonts w:hint="eastAsia" w:ascii="仿宋_GB2312" w:hAnsi="仿宋_GB2312" w:eastAsia="仿宋_GB2312" w:cs="宋体"/>
          <w:spacing w:val="8"/>
          <w:kern w:val="0"/>
          <w:sz w:val="32"/>
          <w:szCs w:val="32"/>
        </w:rPr>
        <w:t>/不予立案</w:t>
      </w:r>
      <w:r>
        <w:rPr>
          <w:rFonts w:ascii="仿宋_GB2312" w:hAnsi="仿宋_GB2312" w:eastAsia="仿宋_GB2312" w:cs="宋体"/>
          <w:spacing w:val="8"/>
          <w:kern w:val="0"/>
          <w:sz w:val="32"/>
          <w:szCs w:val="32"/>
        </w:rPr>
        <w:t>审批表</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w:t>
      </w:r>
      <w:r>
        <w:rPr>
          <w:rFonts w:hint="eastAsia" w:ascii="仿宋_GB2312" w:hAnsi="仿宋_GB2312" w:eastAsia="仿宋_GB2312" w:cs="宋体"/>
          <w:spacing w:val="8"/>
          <w:kern w:val="0"/>
          <w:sz w:val="32"/>
          <w:szCs w:val="32"/>
        </w:rPr>
        <w:t>农业行政执法机关依法对案件作出立案或者不予立案决定，由执法机构提请农业行政执法机关负责人审批时使用的文书。</w:t>
      </w:r>
      <w:r>
        <w:rPr>
          <w:rFonts w:ascii="仿宋_GB2312" w:hAnsi="仿宋_GB2312" w:eastAsia="仿宋_GB2312" w:cs="宋体"/>
          <w:spacing w:val="8"/>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w:t>
      </w:r>
      <w:r>
        <w:rPr>
          <w:rFonts w:hint="eastAsia" w:ascii="仿宋_GB2312" w:hAnsi="仿宋_GB2312" w:eastAsia="仿宋_GB2312" w:cs="宋体"/>
          <w:spacing w:val="8"/>
          <w:kern w:val="0"/>
          <w:sz w:val="32"/>
          <w:szCs w:val="32"/>
        </w:rPr>
        <w:t>简要案情及立案（不予立案）理由</w:t>
      </w:r>
      <w:r>
        <w:rPr>
          <w:rFonts w:ascii="仿宋_GB2312" w:hAnsi="仿宋_GB2312" w:eastAsia="仿宋_GB2312" w:cs="宋体"/>
          <w:spacing w:val="8"/>
          <w:kern w:val="0"/>
          <w:sz w:val="32"/>
          <w:szCs w:val="32"/>
        </w:rPr>
        <w:t>”栏应当写明当事人涉嫌违法的事实、证据等简要情况</w:t>
      </w:r>
      <w:r>
        <w:rPr>
          <w:rFonts w:hint="eastAsia" w:ascii="仿宋_GB2312" w:hAnsi="仿宋_GB2312" w:eastAsia="仿宋_GB2312" w:cs="宋体"/>
          <w:spacing w:val="8"/>
          <w:kern w:val="0"/>
          <w:sz w:val="32"/>
          <w:szCs w:val="32"/>
        </w:rPr>
        <w:t>，涉</w:t>
      </w:r>
      <w:r>
        <w:rPr>
          <w:rFonts w:ascii="仿宋_GB2312" w:hAnsi="仿宋_GB2312" w:eastAsia="仿宋_GB2312" w:cs="宋体"/>
          <w:spacing w:val="8"/>
          <w:kern w:val="0"/>
          <w:sz w:val="32"/>
          <w:szCs w:val="32"/>
        </w:rPr>
        <w:t>嫌违反的相关法律规定</w:t>
      </w:r>
      <w:r>
        <w:rPr>
          <w:rFonts w:hint="eastAsia" w:ascii="仿宋_GB2312" w:hAnsi="仿宋_GB2312" w:eastAsia="仿宋_GB2312" w:cs="宋体"/>
          <w:spacing w:val="8"/>
          <w:kern w:val="0"/>
          <w:sz w:val="32"/>
          <w:szCs w:val="32"/>
        </w:rPr>
        <w:t>以及立案或者不予立案的建议并说明理由</w:t>
      </w:r>
      <w:r>
        <w:rPr>
          <w:rFonts w:ascii="仿宋_GB2312" w:hAnsi="仿宋_GB2312" w:eastAsia="仿宋_GB2312" w:cs="宋体"/>
          <w:spacing w:val="8"/>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《撤销立案审批表》是农业行政执法机关在立案调查后，</w:t>
      </w:r>
      <w:r>
        <w:rPr>
          <w:rFonts w:hint="eastAsia" w:ascii="仿宋_GB2312" w:hAnsi="仿宋_GB2312" w:eastAsia="仿宋_GB2312"/>
          <w:sz w:val="32"/>
          <w:szCs w:val="32"/>
        </w:rPr>
        <w:t>根据新的情况发现相关案件不符合立案条件，依法</w:t>
      </w:r>
      <w:r>
        <w:rPr>
          <w:rFonts w:hint="eastAsia" w:ascii="仿宋_GB2312" w:hAnsi="仿宋_GB2312" w:eastAsia="仿宋_GB2312" w:cs="宋体"/>
          <w:spacing w:val="8"/>
          <w:kern w:val="0"/>
          <w:sz w:val="32"/>
          <w:szCs w:val="32"/>
        </w:rPr>
        <w:t>撤销已经立案案件时使用的文书。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w:t>
      </w:r>
      <w:r>
        <w:rPr>
          <w:rFonts w:hint="eastAsia" w:ascii="仿宋_GB2312" w:hAnsi="仿宋_GB2312" w:eastAsia="仿宋_GB2312" w:cs="宋体"/>
          <w:spacing w:val="8"/>
          <w:kern w:val="0"/>
          <w:sz w:val="32"/>
          <w:szCs w:val="32"/>
        </w:rPr>
        <w:t>简要案情及撤销立案理由</w:t>
      </w:r>
      <w:r>
        <w:rPr>
          <w:rFonts w:ascii="仿宋_GB2312" w:hAnsi="仿宋_GB2312" w:eastAsia="仿宋_GB2312" w:cs="宋体"/>
          <w:spacing w:val="8"/>
          <w:kern w:val="0"/>
          <w:sz w:val="32"/>
          <w:szCs w:val="32"/>
        </w:rPr>
        <w:t>”栏应当写明</w:t>
      </w:r>
      <w:r>
        <w:rPr>
          <w:rFonts w:hint="eastAsia" w:ascii="仿宋_GB2312" w:hAnsi="仿宋_GB2312" w:eastAsia="仿宋_GB2312" w:cs="宋体"/>
          <w:spacing w:val="8"/>
          <w:kern w:val="0"/>
          <w:sz w:val="32"/>
          <w:szCs w:val="32"/>
        </w:rPr>
        <w:t>农业行政执法机关调查的基本情况，撤销立案的</w:t>
      </w:r>
      <w:r>
        <w:rPr>
          <w:rFonts w:ascii="仿宋_GB2312" w:hAnsi="仿宋_GB2312" w:eastAsia="仿宋_GB2312" w:cs="宋体"/>
          <w:spacing w:val="8"/>
          <w:kern w:val="0"/>
          <w:sz w:val="32"/>
          <w:szCs w:val="32"/>
        </w:rPr>
        <w:t>事实、证据等简要情况</w:t>
      </w:r>
      <w:r>
        <w:rPr>
          <w:rFonts w:hint="eastAsia" w:ascii="仿宋_GB2312" w:hAnsi="仿宋_GB2312" w:eastAsia="仿宋_GB2312" w:cs="宋体"/>
          <w:spacing w:val="8"/>
          <w:kern w:val="0"/>
          <w:sz w:val="32"/>
          <w:szCs w:val="32"/>
        </w:rPr>
        <w:t>和撤销立案的建议并说明理由。</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三十一</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《责令改正通知书》是农业行政执法机关依据有关法律、法规、规章的规定，责令当事人改正违法行为时使用的文书。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制作《责令改正通知书》应当写明所依据的法律、法规、规章的具体条款。</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没有法律、法规、规章明确规定的责令改正规定，但农业行政执法机关在实施行政处罚时，按照《中华人民共和国行政处罚法》有关规定，责令当事人改正或者限期改正违法行为的，可以在《行政处罚决定书》或者《不予行政处罚决定书》中一并表述，不必单独制作本文书。</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三十二</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询问笔录</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w:t>
      </w:r>
      <w:r>
        <w:rPr>
          <w:rFonts w:hint="eastAsia" w:ascii="仿宋_GB2312" w:hAnsi="仿宋_GB2312" w:eastAsia="仿宋_GB2312" w:cs="宋体"/>
          <w:spacing w:val="8"/>
          <w:kern w:val="0"/>
          <w:sz w:val="32"/>
          <w:szCs w:val="32"/>
        </w:rPr>
        <w:t>农业行政执法机关</w:t>
      </w:r>
      <w:r>
        <w:rPr>
          <w:rFonts w:ascii="仿宋_GB2312" w:hAnsi="仿宋_GB2312" w:eastAsia="仿宋_GB2312" w:cs="宋体"/>
          <w:spacing w:val="8"/>
          <w:kern w:val="0"/>
          <w:sz w:val="32"/>
          <w:szCs w:val="32"/>
        </w:rPr>
        <w:t>为查明案件事实，收集证据，</w:t>
      </w:r>
      <w:r>
        <w:rPr>
          <w:rFonts w:hint="eastAsia" w:ascii="仿宋_GB2312" w:hAnsi="仿宋_GB2312" w:eastAsia="仿宋_GB2312" w:cs="宋体"/>
          <w:spacing w:val="8"/>
          <w:kern w:val="0"/>
          <w:sz w:val="32"/>
          <w:szCs w:val="32"/>
        </w:rPr>
        <w:t>依法</w:t>
      </w:r>
      <w:r>
        <w:rPr>
          <w:rFonts w:ascii="仿宋_GB2312" w:hAnsi="仿宋_GB2312" w:eastAsia="仿宋_GB2312" w:cs="宋体"/>
          <w:spacing w:val="8"/>
          <w:kern w:val="0"/>
          <w:sz w:val="32"/>
          <w:szCs w:val="32"/>
        </w:rPr>
        <w:t>向</w:t>
      </w:r>
      <w:r>
        <w:rPr>
          <w:rFonts w:hint="eastAsia" w:ascii="仿宋_GB2312" w:hAnsi="仿宋_GB2312" w:eastAsia="仿宋_GB2312" w:cs="宋体"/>
          <w:spacing w:val="8"/>
          <w:kern w:val="0"/>
          <w:sz w:val="32"/>
          <w:szCs w:val="32"/>
        </w:rPr>
        <w:t>当事人或者其他</w:t>
      </w:r>
      <w:r>
        <w:rPr>
          <w:rFonts w:ascii="仿宋_GB2312" w:hAnsi="仿宋_GB2312" w:eastAsia="仿宋_GB2312" w:cs="宋体"/>
          <w:spacing w:val="8"/>
          <w:kern w:val="0"/>
          <w:sz w:val="32"/>
          <w:szCs w:val="32"/>
        </w:rPr>
        <w:t>相关人员调查</w:t>
      </w:r>
      <w:r>
        <w:rPr>
          <w:rFonts w:hint="eastAsia" w:ascii="仿宋_GB2312" w:hAnsi="仿宋_GB2312" w:eastAsia="仿宋_GB2312" w:cs="宋体"/>
          <w:spacing w:val="8"/>
          <w:kern w:val="0"/>
          <w:sz w:val="32"/>
          <w:szCs w:val="32"/>
        </w:rPr>
        <w:t>、询问并记录</w:t>
      </w:r>
      <w:r>
        <w:rPr>
          <w:rFonts w:ascii="仿宋_GB2312" w:hAnsi="仿宋_GB2312" w:eastAsia="仿宋_GB2312" w:cs="宋体"/>
          <w:spacing w:val="8"/>
          <w:kern w:val="0"/>
          <w:sz w:val="32"/>
          <w:szCs w:val="32"/>
        </w:rPr>
        <w:t>有关案件情况</w:t>
      </w:r>
      <w:r>
        <w:rPr>
          <w:rFonts w:hint="eastAsia" w:ascii="仿宋_GB2312" w:hAnsi="仿宋_GB2312" w:eastAsia="仿宋_GB2312" w:cs="宋体"/>
          <w:spacing w:val="8"/>
          <w:kern w:val="0"/>
          <w:sz w:val="32"/>
          <w:szCs w:val="32"/>
        </w:rPr>
        <w:t>时使用的文书</w:t>
      </w:r>
      <w:r>
        <w:rPr>
          <w:rFonts w:ascii="仿宋_GB2312" w:hAnsi="仿宋_GB2312" w:eastAsia="仿宋_GB2312" w:cs="宋体"/>
          <w:spacing w:val="8"/>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询问时应当有两名以上执法人员在场，</w:t>
      </w:r>
      <w:r>
        <w:rPr>
          <w:rFonts w:ascii="仿宋_GB2312" w:hAnsi="仿宋_GB2312" w:eastAsia="仿宋_GB2312"/>
          <w:sz w:val="32"/>
          <w:szCs w:val="32"/>
        </w:rPr>
        <w:t>每份询问笔录对应一个被询问人。</w:t>
      </w:r>
      <w:r>
        <w:rPr>
          <w:rFonts w:ascii="仿宋_GB2312" w:hAnsi="仿宋_GB2312" w:eastAsia="仿宋_GB2312" w:cs="宋体"/>
          <w:spacing w:val="8"/>
          <w:kern w:val="0"/>
          <w:sz w:val="32"/>
          <w:szCs w:val="32"/>
        </w:rPr>
        <w:t>询问人提出的问题，</w:t>
      </w:r>
      <w:r>
        <w:rPr>
          <w:rFonts w:hint="eastAsia" w:ascii="仿宋_GB2312" w:hAnsi="仿宋_GB2312" w:eastAsia="仿宋_GB2312" w:cs="宋体"/>
          <w:spacing w:val="8"/>
          <w:kern w:val="0"/>
          <w:sz w:val="32"/>
          <w:szCs w:val="32"/>
        </w:rPr>
        <w:t>如果</w:t>
      </w:r>
      <w:r>
        <w:rPr>
          <w:rFonts w:ascii="仿宋_GB2312" w:hAnsi="仿宋_GB2312" w:eastAsia="仿宋_GB2312" w:cs="宋体"/>
          <w:spacing w:val="8"/>
          <w:kern w:val="0"/>
          <w:sz w:val="32"/>
          <w:szCs w:val="32"/>
        </w:rPr>
        <w:t>被询问人不回答或者拒绝回答的，应当写明被询问人的态度，如“不回答”或者“沉默”等，并用括号标记。</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询问笔录经被询问人核对无误后，由被询问人在笔录上逐页签名、盖章或者按指纹等方式确认，农业行政执法人员应当在笔录上逐页签名。被询问人拒绝签名、盖章或者按指纹的，由农业行政执法人员在笔录上注明情况。</w:t>
      </w:r>
      <w:r>
        <w:rPr>
          <w:rFonts w:ascii="仿宋_GB2312" w:hAnsi="仿宋_GB2312" w:eastAsia="仿宋_GB2312" w:cs="宋体"/>
          <w:spacing w:val="8"/>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三十三</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现场检查（勘验）笔录</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w:t>
      </w:r>
      <w:r>
        <w:rPr>
          <w:rFonts w:hint="eastAsia" w:ascii="仿宋_GB2312" w:hAnsi="仿宋_GB2312" w:eastAsia="仿宋_GB2312" w:cs="宋体"/>
          <w:spacing w:val="8"/>
          <w:kern w:val="0"/>
          <w:sz w:val="32"/>
          <w:szCs w:val="32"/>
        </w:rPr>
        <w:t>农业行政执法机关依法</w:t>
      </w:r>
      <w:r>
        <w:rPr>
          <w:rFonts w:ascii="仿宋_GB2312" w:hAnsi="仿宋_GB2312" w:eastAsia="仿宋_GB2312" w:cs="宋体"/>
          <w:spacing w:val="8"/>
          <w:kern w:val="0"/>
          <w:sz w:val="32"/>
          <w:szCs w:val="32"/>
        </w:rPr>
        <w:t>对与涉嫌违法行为有关的物品、场所等进行检查或者勘验</w:t>
      </w:r>
      <w:r>
        <w:rPr>
          <w:rFonts w:hint="eastAsia" w:ascii="仿宋_GB2312" w:hAnsi="仿宋_GB2312" w:eastAsia="仿宋_GB2312" w:cs="宋体"/>
          <w:spacing w:val="8"/>
          <w:kern w:val="0"/>
          <w:sz w:val="32"/>
          <w:szCs w:val="32"/>
        </w:rPr>
        <w:t>，制作现场检查笔录或者勘验笔录时使用</w:t>
      </w:r>
      <w:r>
        <w:rPr>
          <w:rFonts w:ascii="仿宋_GB2312" w:hAnsi="仿宋_GB2312" w:eastAsia="仿宋_GB2312" w:cs="宋体"/>
          <w:spacing w:val="8"/>
          <w:kern w:val="0"/>
          <w:sz w:val="32"/>
          <w:szCs w:val="32"/>
        </w:rPr>
        <w:t>的</w:t>
      </w:r>
      <w:r>
        <w:rPr>
          <w:rFonts w:hint="eastAsia" w:ascii="仿宋_GB2312" w:hAnsi="仿宋_GB2312" w:eastAsia="仿宋_GB2312" w:cs="宋体"/>
          <w:spacing w:val="8"/>
          <w:kern w:val="0"/>
          <w:sz w:val="32"/>
          <w:szCs w:val="32"/>
        </w:rPr>
        <w:t>文书</w:t>
      </w:r>
      <w:r>
        <w:rPr>
          <w:rFonts w:ascii="仿宋_GB2312" w:hAnsi="仿宋_GB2312" w:eastAsia="仿宋_GB2312" w:cs="宋体"/>
          <w:spacing w:val="8"/>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　　现场检查（勘验）笔录</w:t>
      </w:r>
      <w:r>
        <w:rPr>
          <w:rFonts w:hint="eastAsia" w:ascii="仿宋_GB2312" w:hAnsi="仿宋_GB2312" w:eastAsia="仿宋_GB2312" w:cs="宋体"/>
          <w:spacing w:val="8"/>
          <w:kern w:val="0"/>
          <w:sz w:val="32"/>
          <w:szCs w:val="32"/>
        </w:rPr>
        <w:t>应当</w:t>
      </w:r>
      <w:r>
        <w:rPr>
          <w:rFonts w:ascii="仿宋_GB2312" w:hAnsi="仿宋_GB2312" w:eastAsia="仿宋_GB2312" w:cs="宋体"/>
          <w:spacing w:val="8"/>
          <w:kern w:val="0"/>
          <w:sz w:val="32"/>
          <w:szCs w:val="32"/>
        </w:rPr>
        <w:t>对所检查的物品名称、数量、包装形式、规格或</w:t>
      </w:r>
      <w:r>
        <w:rPr>
          <w:rFonts w:hint="eastAsia" w:ascii="仿宋_GB2312" w:hAnsi="仿宋_GB2312" w:eastAsia="仿宋_GB2312" w:cs="宋体"/>
          <w:spacing w:val="8"/>
          <w:kern w:val="0"/>
          <w:sz w:val="32"/>
          <w:szCs w:val="32"/>
        </w:rPr>
        <w:t>者</w:t>
      </w:r>
      <w:r>
        <w:rPr>
          <w:rFonts w:ascii="仿宋_GB2312" w:hAnsi="仿宋_GB2312" w:eastAsia="仿宋_GB2312" w:cs="宋体"/>
          <w:spacing w:val="8"/>
          <w:kern w:val="0"/>
          <w:sz w:val="32"/>
          <w:szCs w:val="32"/>
        </w:rPr>
        <w:t>所勘验的现场具体地点、范围、状况等作全面、客观、准确的记录。需要绘制勘验图的，可另附纸。</w:t>
      </w:r>
    </w:p>
    <w:p>
      <w:pPr>
        <w:keepNext w:val="0"/>
        <w:keepLines w:val="0"/>
        <w:pageBreakBefore w:val="0"/>
        <w:widowControl/>
        <w:kinsoku/>
        <w:wordWrap/>
        <w:overflowPunct/>
        <w:topLinePunct w:val="0"/>
        <w:autoSpaceDE/>
        <w:autoSpaceDN/>
        <w:bidi w:val="0"/>
        <w:adjustRightInd w:val="0"/>
        <w:snapToGrid w:val="0"/>
        <w:spacing w:line="560" w:lineRule="exact"/>
        <w:ind w:firstLine="672"/>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现场绘制的勘验图、拍摄的照片和摄像、录音等资料</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 xml:space="preserve">应当在笔录中注明。 </w:t>
      </w:r>
    </w:p>
    <w:p>
      <w:pPr>
        <w:keepNext w:val="0"/>
        <w:keepLines w:val="0"/>
        <w:pageBreakBefore w:val="0"/>
        <w:widowControl/>
        <w:kinsoku/>
        <w:wordWrap/>
        <w:overflowPunct/>
        <w:topLinePunct w:val="0"/>
        <w:autoSpaceDE/>
        <w:autoSpaceDN/>
        <w:bidi w:val="0"/>
        <w:adjustRightInd w:val="0"/>
        <w:snapToGrid w:val="0"/>
        <w:spacing w:line="560" w:lineRule="exact"/>
        <w:ind w:firstLine="672"/>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当事人到场的，</w:t>
      </w:r>
      <w:r>
        <w:rPr>
          <w:rFonts w:ascii="仿宋_GB2312" w:hAnsi="仿宋_GB2312" w:eastAsia="仿宋_GB2312" w:cs="宋体"/>
          <w:spacing w:val="8"/>
          <w:kern w:val="0"/>
          <w:sz w:val="32"/>
          <w:szCs w:val="32"/>
        </w:rPr>
        <w:t>现场检查（勘验）笔录</w:t>
      </w:r>
      <w:r>
        <w:rPr>
          <w:rFonts w:hint="eastAsia" w:ascii="仿宋_GB2312" w:hAnsi="仿宋_GB2312" w:eastAsia="仿宋_GB2312" w:cs="宋体"/>
          <w:spacing w:val="8"/>
          <w:kern w:val="0"/>
          <w:sz w:val="32"/>
          <w:szCs w:val="32"/>
        </w:rPr>
        <w:t>应当经当事人核对无误后，在笔录上逐页签名、盖章或者按指纹等方式确认，农业行政执法人员应当在笔录上逐页签名。当事人拒不到场，无法找到当事人或者当事人拒绝签名、盖章或者按指纹的，由农业行政执法人员在笔录上注明情况，并可以请在场的见证人在笔录上逐页签名。</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三十四</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抽样</w:t>
      </w:r>
      <w:r>
        <w:rPr>
          <w:rFonts w:hint="eastAsia" w:ascii="仿宋_GB2312" w:hAnsi="仿宋_GB2312" w:eastAsia="仿宋_GB2312" w:cs="宋体"/>
          <w:spacing w:val="8"/>
          <w:kern w:val="0"/>
          <w:sz w:val="32"/>
          <w:szCs w:val="32"/>
        </w:rPr>
        <w:t>取证凭证》</w:t>
      </w:r>
      <w:r>
        <w:rPr>
          <w:rFonts w:ascii="仿宋_GB2312" w:hAnsi="仿宋_GB2312" w:eastAsia="仿宋_GB2312" w:cs="宋体"/>
          <w:spacing w:val="8"/>
          <w:kern w:val="0"/>
          <w:sz w:val="32"/>
          <w:szCs w:val="32"/>
        </w:rPr>
        <w:t>是</w:t>
      </w:r>
      <w:r>
        <w:rPr>
          <w:rFonts w:hint="eastAsia" w:ascii="仿宋_GB2312" w:hAnsi="仿宋_GB2312" w:eastAsia="仿宋_GB2312" w:cs="宋体"/>
          <w:spacing w:val="8"/>
          <w:kern w:val="0"/>
          <w:sz w:val="32"/>
          <w:szCs w:val="32"/>
        </w:rPr>
        <w:t>农业行政执法机关在案件调查过程中，依法采取抽样取证措施收集证据时，对抽样取证过程、样品、封样等情况进行记录时使用的文书。</w:t>
      </w:r>
      <w:r>
        <w:rPr>
          <w:rFonts w:ascii="仿宋_GB2312" w:hAnsi="仿宋_GB2312" w:eastAsia="仿宋_GB2312" w:cs="宋体"/>
          <w:spacing w:val="8"/>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抽样送检的样品应当在现场封样，</w:t>
      </w:r>
      <w:r>
        <w:rPr>
          <w:rFonts w:hint="eastAsia" w:ascii="仿宋_GB2312" w:hAnsi="仿宋_GB2312" w:eastAsia="仿宋_GB2312" w:cs="宋体"/>
          <w:spacing w:val="8"/>
          <w:kern w:val="0"/>
          <w:sz w:val="32"/>
          <w:szCs w:val="32"/>
        </w:rPr>
        <w:t>样品封样情况写明被抽样品加封情况、备用样品封存地点</w:t>
      </w:r>
      <w:r>
        <w:rPr>
          <w:rFonts w:ascii="仿宋_GB2312" w:hAnsi="仿宋_GB2312" w:eastAsia="仿宋_GB2312" w:cs="宋体"/>
          <w:spacing w:val="8"/>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抽样取样凭证</w:t>
      </w:r>
      <w:r>
        <w:rPr>
          <w:rFonts w:ascii="仿宋_GB2312" w:hAnsi="仿宋_GB2312" w:eastAsia="仿宋_GB2312" w:cs="宋体"/>
          <w:spacing w:val="8"/>
          <w:kern w:val="0"/>
          <w:sz w:val="32"/>
          <w:szCs w:val="32"/>
        </w:rPr>
        <w:t>中各栏目信息，</w:t>
      </w:r>
      <w:r>
        <w:rPr>
          <w:rFonts w:hint="eastAsia" w:ascii="仿宋_GB2312" w:hAnsi="仿宋_GB2312" w:eastAsia="仿宋_GB2312" w:cs="宋体"/>
          <w:spacing w:val="8"/>
          <w:kern w:val="0"/>
          <w:sz w:val="32"/>
          <w:szCs w:val="32"/>
        </w:rPr>
        <w:t>应当按照物品（产品）外包装、标签、说明书上记载的内容填写；没有或者无法确定其中某项内容的，应当注明。抽取样品数量包括检验样品数量及备用样品数量；抽样基数是被抽样同批次产品的总量。</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对抽样取证的方式、标准等有特别规定的，应当按照规定执行。</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执法人员应当制作抽样取证凭证，对样品加贴封条，并由执法人员和当事人在抽样取样凭证上签名或者盖章。当事人拒绝签名或者盖章的，应当采取拍照、录像或者其他方式记录抽样取证情况。</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三十五</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《抽样检测结果告知书》是农业行政执法机关依法将抽样检测结果告知当事人时使用的文书。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依据相关法律、法规、规章的规定，当事人享有申请复检、复验权利的，农业行政执法机关应当依法告知当事人申请复检、复验的权利，并同时告知申请复检、复验的期限和受理单位。</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三十六</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产品确认通知书</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是农业</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执法机关从非生产单位取得样品</w:t>
      </w:r>
      <w:r>
        <w:rPr>
          <w:rFonts w:hint="eastAsia" w:ascii="仿宋_GB2312" w:hAnsi="仿宋_GB2312" w:eastAsia="仿宋_GB2312" w:cs="宋体"/>
          <w:spacing w:val="8"/>
          <w:kern w:val="0"/>
          <w:sz w:val="32"/>
          <w:szCs w:val="32"/>
        </w:rPr>
        <w:t>后</w:t>
      </w:r>
      <w:r>
        <w:rPr>
          <w:rFonts w:ascii="仿宋_GB2312" w:hAnsi="仿宋_GB2312" w:eastAsia="仿宋_GB2312" w:cs="宋体"/>
          <w:spacing w:val="8"/>
          <w:kern w:val="0"/>
          <w:sz w:val="32"/>
          <w:szCs w:val="32"/>
        </w:rPr>
        <w:t>，为确认样品的</w:t>
      </w:r>
      <w:r>
        <w:rPr>
          <w:rFonts w:hint="eastAsia" w:ascii="仿宋_GB2312" w:hAnsi="仿宋_GB2312" w:eastAsia="仿宋_GB2312" w:cs="宋体"/>
          <w:spacing w:val="8"/>
          <w:kern w:val="0"/>
          <w:sz w:val="32"/>
          <w:szCs w:val="32"/>
        </w:rPr>
        <w:t>真实</w:t>
      </w:r>
      <w:r>
        <w:rPr>
          <w:rFonts w:ascii="仿宋_GB2312" w:hAnsi="仿宋_GB2312" w:eastAsia="仿宋_GB2312" w:cs="宋体"/>
          <w:spacing w:val="8"/>
          <w:kern w:val="0"/>
          <w:sz w:val="32"/>
          <w:szCs w:val="32"/>
        </w:rPr>
        <w:t>生产单位，向</w:t>
      </w:r>
      <w:r>
        <w:rPr>
          <w:rFonts w:hint="eastAsia" w:ascii="仿宋_GB2312" w:hAnsi="仿宋_GB2312" w:eastAsia="仿宋_GB2312" w:cs="宋体"/>
          <w:spacing w:val="8"/>
          <w:kern w:val="0"/>
          <w:sz w:val="32"/>
          <w:szCs w:val="32"/>
        </w:rPr>
        <w:t>样品</w:t>
      </w:r>
      <w:r>
        <w:rPr>
          <w:rFonts w:ascii="仿宋_GB2312" w:hAnsi="仿宋_GB2312" w:eastAsia="仿宋_GB2312" w:cs="宋体"/>
          <w:spacing w:val="8"/>
          <w:kern w:val="0"/>
          <w:sz w:val="32"/>
          <w:szCs w:val="32"/>
        </w:rPr>
        <w:t>标签</w:t>
      </w:r>
      <w:r>
        <w:rPr>
          <w:rFonts w:hint="eastAsia" w:ascii="仿宋_GB2312" w:hAnsi="仿宋_GB2312" w:eastAsia="仿宋_GB2312" w:cs="宋体"/>
          <w:spacing w:val="8"/>
          <w:kern w:val="0"/>
          <w:sz w:val="32"/>
          <w:szCs w:val="32"/>
        </w:rPr>
        <w:t>、包装等</w:t>
      </w:r>
      <w:r>
        <w:rPr>
          <w:rFonts w:ascii="仿宋_GB2312" w:hAnsi="仿宋_GB2312" w:eastAsia="仿宋_GB2312" w:cs="宋体"/>
          <w:spacing w:val="8"/>
          <w:kern w:val="0"/>
          <w:sz w:val="32"/>
          <w:szCs w:val="32"/>
        </w:rPr>
        <w:t>标注的生产单位发出</w:t>
      </w:r>
      <w:r>
        <w:rPr>
          <w:rFonts w:hint="eastAsia" w:ascii="仿宋_GB2312" w:hAnsi="仿宋_GB2312" w:eastAsia="仿宋_GB2312" w:cs="宋体"/>
          <w:spacing w:val="8"/>
          <w:kern w:val="0"/>
          <w:sz w:val="32"/>
          <w:szCs w:val="32"/>
        </w:rPr>
        <w:t>时使用</w:t>
      </w:r>
      <w:r>
        <w:rPr>
          <w:rFonts w:ascii="仿宋_GB2312" w:hAnsi="仿宋_GB2312" w:eastAsia="仿宋_GB2312" w:cs="宋体"/>
          <w:spacing w:val="8"/>
          <w:kern w:val="0"/>
          <w:sz w:val="32"/>
          <w:szCs w:val="32"/>
        </w:rPr>
        <w:t xml:space="preserve">的文书。 </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产品确认通知书中各栏目信息，</w:t>
      </w:r>
      <w:r>
        <w:rPr>
          <w:rFonts w:hint="eastAsia" w:ascii="仿宋_GB2312" w:hAnsi="仿宋_GB2312" w:eastAsia="仿宋_GB2312" w:cs="宋体"/>
          <w:spacing w:val="8"/>
          <w:kern w:val="0"/>
          <w:sz w:val="32"/>
          <w:szCs w:val="32"/>
        </w:rPr>
        <w:t>应当按照产品外包装、标签、说明书上记载的内容填写，并</w:t>
      </w:r>
      <w:r>
        <w:rPr>
          <w:rFonts w:ascii="仿宋_GB2312" w:hAnsi="仿宋_GB2312" w:eastAsia="仿宋_GB2312" w:cs="宋体"/>
          <w:spacing w:val="8"/>
          <w:kern w:val="0"/>
          <w:sz w:val="32"/>
          <w:szCs w:val="32"/>
        </w:rPr>
        <w:t>附照片</w:t>
      </w:r>
      <w:r>
        <w:rPr>
          <w:rFonts w:hint="eastAsia" w:ascii="仿宋_GB2312" w:hAnsi="仿宋_GB2312" w:eastAsia="仿宋_GB2312" w:cs="宋体"/>
          <w:spacing w:val="8"/>
          <w:kern w:val="0"/>
          <w:sz w:val="32"/>
          <w:szCs w:val="32"/>
        </w:rPr>
        <w:t>；没有或者无法确定其中某项内容的，应当注明。</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产品确认通知书</w:t>
      </w:r>
      <w:r>
        <w:rPr>
          <w:rFonts w:hint="eastAsia" w:ascii="仿宋_GB2312" w:hAnsi="仿宋_GB2312" w:eastAsia="仿宋_GB2312" w:cs="宋体"/>
          <w:spacing w:val="8"/>
          <w:kern w:val="0"/>
          <w:sz w:val="32"/>
          <w:szCs w:val="32"/>
        </w:rPr>
        <w:t>应当写明</w:t>
      </w:r>
      <w:r>
        <w:rPr>
          <w:rFonts w:ascii="仿宋_GB2312" w:hAnsi="仿宋_GB2312" w:eastAsia="仿宋_GB2312" w:cs="宋体"/>
          <w:spacing w:val="8"/>
          <w:kern w:val="0"/>
          <w:sz w:val="32"/>
          <w:szCs w:val="32"/>
        </w:rPr>
        <w:t>要求</w:t>
      </w:r>
      <w:r>
        <w:rPr>
          <w:rFonts w:hint="eastAsia" w:ascii="仿宋_GB2312" w:hAnsi="仿宋_GB2312" w:eastAsia="仿宋_GB2312" w:cs="宋体"/>
          <w:spacing w:val="8"/>
          <w:kern w:val="0"/>
          <w:sz w:val="32"/>
          <w:szCs w:val="32"/>
        </w:rPr>
        <w:t>生产</w:t>
      </w:r>
      <w:r>
        <w:rPr>
          <w:rFonts w:ascii="仿宋_GB2312" w:hAnsi="仿宋_GB2312" w:eastAsia="仿宋_GB2312" w:cs="宋体"/>
          <w:spacing w:val="8"/>
          <w:kern w:val="0"/>
          <w:sz w:val="32"/>
          <w:szCs w:val="32"/>
        </w:rPr>
        <w:t xml:space="preserve">单位确认的期限。 </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三十七</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《证据先行登记保存通知书》是农业行政执法机关在案件调查过程中，</w:t>
      </w:r>
      <w:r>
        <w:rPr>
          <w:rFonts w:ascii="仿宋_GB2312" w:hAnsi="仿宋_GB2312" w:eastAsia="仿宋_GB2312" w:cs="宋体"/>
          <w:spacing w:val="8"/>
          <w:kern w:val="0"/>
          <w:sz w:val="32"/>
          <w:szCs w:val="32"/>
        </w:rPr>
        <w:t>对与涉嫌违法行为有关</w:t>
      </w:r>
      <w:r>
        <w:rPr>
          <w:rFonts w:hint="eastAsia" w:ascii="仿宋_GB2312" w:hAnsi="仿宋_GB2312" w:eastAsia="仿宋_GB2312" w:cs="宋体"/>
          <w:spacing w:val="8"/>
          <w:kern w:val="0"/>
          <w:sz w:val="32"/>
          <w:szCs w:val="32"/>
        </w:rPr>
        <w:t>、可能灭失或者以后难以取得的</w:t>
      </w:r>
      <w:r>
        <w:rPr>
          <w:rFonts w:ascii="仿宋_GB2312" w:hAnsi="仿宋_GB2312" w:eastAsia="仿宋_GB2312" w:cs="宋体"/>
          <w:spacing w:val="8"/>
          <w:kern w:val="0"/>
          <w:sz w:val="32"/>
          <w:szCs w:val="32"/>
        </w:rPr>
        <w:t>证据</w:t>
      </w:r>
      <w:r>
        <w:rPr>
          <w:rFonts w:hint="eastAsia" w:ascii="仿宋_GB2312" w:hAnsi="仿宋_GB2312" w:eastAsia="仿宋_GB2312" w:cs="宋体"/>
          <w:spacing w:val="8"/>
          <w:kern w:val="0"/>
          <w:sz w:val="32"/>
          <w:szCs w:val="32"/>
        </w:rPr>
        <w:t>进行</w:t>
      </w:r>
      <w:r>
        <w:rPr>
          <w:rFonts w:ascii="仿宋_GB2312" w:hAnsi="仿宋_GB2312" w:eastAsia="仿宋_GB2312" w:cs="宋体"/>
          <w:spacing w:val="8"/>
          <w:kern w:val="0"/>
          <w:sz w:val="32"/>
          <w:szCs w:val="32"/>
        </w:rPr>
        <w:t>登记保存时</w:t>
      </w:r>
      <w:r>
        <w:rPr>
          <w:rFonts w:hint="eastAsia" w:ascii="仿宋_GB2312" w:hAnsi="仿宋_GB2312" w:eastAsia="仿宋_GB2312" w:cs="宋体"/>
          <w:spacing w:val="8"/>
          <w:kern w:val="0"/>
          <w:sz w:val="32"/>
          <w:szCs w:val="32"/>
        </w:rPr>
        <w:t>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农业行政执法机关应当根据需要选择就地或者异地保存。被登记保存物品状况应当在通知书中逐项详细记录，登记保存地点要表述明确、清楚。</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当事人应当在通知书上逐页签名、盖章或者以其他方式确认。执法人员应当在清单上逐页签名。</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农业行政</w:t>
      </w:r>
      <w:r>
        <w:rPr>
          <w:rFonts w:ascii="仿宋_GB2312" w:hAnsi="仿宋_GB2312" w:eastAsia="仿宋_GB2312" w:cs="宋体"/>
          <w:spacing w:val="8"/>
          <w:kern w:val="0"/>
          <w:sz w:val="32"/>
          <w:szCs w:val="32"/>
        </w:rPr>
        <w:t>执法机关可以在证据登记保存的相关物品和场所加贴封条</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封条应当标明日期，并加盖执法机关印章。</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三十八</w:t>
      </w:r>
      <w:r>
        <w:rPr>
          <w:rFonts w:ascii="黑体" w:hAnsi="黑体" w:eastAsia="黑体" w:cs="宋体"/>
          <w:spacing w:val="8"/>
          <w:kern w:val="0"/>
          <w:sz w:val="32"/>
          <w:szCs w:val="32"/>
        </w:rPr>
        <w:t xml:space="preserve">条 </w:t>
      </w:r>
      <w:r>
        <w:rPr>
          <w:rFonts w:hint="eastAsia" w:ascii="仿宋_GB2312" w:hAnsi="仿宋_GB2312" w:eastAsia="仿宋_GB2312" w:cs="宋体"/>
          <w:spacing w:val="8"/>
          <w:kern w:val="0"/>
          <w:sz w:val="32"/>
          <w:szCs w:val="32"/>
        </w:rPr>
        <w:t xml:space="preserve">《先行登记保存物品处理通知书》是农业行政执法机关在规定的期限内对被先行登记保存的物品作出处理决定并告知当事人时使用的文书。 </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处理通知书应当写明当事人姓名或</w:t>
      </w:r>
      <w:r>
        <w:rPr>
          <w:rFonts w:hint="eastAsia" w:ascii="仿宋_GB2312" w:hAnsi="仿宋_GB2312" w:eastAsia="仿宋_GB2312" w:cs="宋体"/>
          <w:spacing w:val="8"/>
          <w:kern w:val="0"/>
          <w:sz w:val="32"/>
          <w:szCs w:val="32"/>
          <w:lang w:eastAsia="zh-CN"/>
        </w:rPr>
        <w:t>者</w:t>
      </w:r>
      <w:r>
        <w:rPr>
          <w:rFonts w:hint="eastAsia" w:ascii="仿宋_GB2312" w:hAnsi="仿宋_GB2312" w:eastAsia="仿宋_GB2312" w:cs="宋体"/>
          <w:spacing w:val="8"/>
          <w:kern w:val="0"/>
          <w:sz w:val="32"/>
          <w:szCs w:val="32"/>
        </w:rPr>
        <w:t>名称、登记保存作出的时间、登记保存的物品清单及具体处理决定。</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　　</w:t>
      </w:r>
      <w:r>
        <w:rPr>
          <w:rFonts w:ascii="黑体" w:hAnsi="黑体" w:eastAsia="黑体" w:cs="宋体"/>
          <w:spacing w:val="8"/>
          <w:kern w:val="0"/>
          <w:sz w:val="32"/>
          <w:szCs w:val="32"/>
        </w:rPr>
        <w:t>第</w:t>
      </w:r>
      <w:r>
        <w:rPr>
          <w:rFonts w:hint="eastAsia" w:ascii="黑体" w:hAnsi="黑体" w:eastAsia="黑体" w:cs="宋体"/>
          <w:spacing w:val="8"/>
          <w:kern w:val="0"/>
          <w:sz w:val="32"/>
          <w:szCs w:val="32"/>
        </w:rPr>
        <w:t>三十九</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查封（扣押）决定书</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是农业</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执法机关在案件调查过程中</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依照有关法律法规对涉案场所、设施或者</w:t>
      </w:r>
      <w:r>
        <w:rPr>
          <w:rFonts w:hint="eastAsia" w:ascii="仿宋_GB2312" w:hAnsi="仿宋_GB2312" w:eastAsia="仿宋_GB2312" w:cs="宋体"/>
          <w:spacing w:val="8"/>
          <w:kern w:val="0"/>
          <w:sz w:val="32"/>
          <w:szCs w:val="32"/>
        </w:rPr>
        <w:t>财物</w:t>
      </w:r>
      <w:r>
        <w:rPr>
          <w:rFonts w:ascii="仿宋_GB2312" w:hAnsi="仿宋_GB2312" w:eastAsia="仿宋_GB2312" w:cs="宋体"/>
          <w:spacing w:val="8"/>
          <w:kern w:val="0"/>
          <w:sz w:val="32"/>
          <w:szCs w:val="32"/>
        </w:rPr>
        <w:t>采取</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强制措施，实施</w:t>
      </w:r>
      <w:r>
        <w:rPr>
          <w:rFonts w:hint="eastAsia" w:ascii="仿宋_GB2312" w:hAnsi="仿宋_GB2312" w:eastAsia="仿宋_GB2312" w:cs="宋体"/>
          <w:spacing w:val="8"/>
          <w:kern w:val="0"/>
          <w:sz w:val="32"/>
          <w:szCs w:val="32"/>
        </w:rPr>
        <w:t>查封（扣押）时使用</w:t>
      </w:r>
      <w:r>
        <w:rPr>
          <w:rFonts w:ascii="仿宋_GB2312" w:hAnsi="仿宋_GB2312" w:eastAsia="仿宋_GB2312" w:cs="宋体"/>
          <w:spacing w:val="8"/>
          <w:kern w:val="0"/>
          <w:sz w:val="32"/>
          <w:szCs w:val="32"/>
        </w:rPr>
        <w:t xml:space="preserve">的文书。 </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实施查封（扣押）应当有法律、法规依据，填写前款规定的文书时应当写明所依据的具体条款。</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查封（扣押）期限应当明确具体，不得超过三十日；情况复杂的，经农业行政执法机关负责人批准可以延长，但是延长期限不得超过三十日。法律、行政法规另有规定的除外。</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查封（扣押）时，应当在</w:t>
      </w:r>
      <w:r>
        <w:rPr>
          <w:rFonts w:ascii="仿宋_GB2312" w:hAnsi="仿宋_GB2312" w:eastAsia="仿宋_GB2312" w:cs="宋体"/>
          <w:spacing w:val="8"/>
          <w:kern w:val="0"/>
          <w:sz w:val="32"/>
          <w:szCs w:val="32"/>
        </w:rPr>
        <w:t>相关场所、设施或者</w:t>
      </w:r>
      <w:r>
        <w:rPr>
          <w:rFonts w:hint="eastAsia" w:ascii="仿宋_GB2312" w:hAnsi="仿宋_GB2312" w:eastAsia="仿宋_GB2312" w:cs="宋体"/>
          <w:spacing w:val="8"/>
          <w:kern w:val="0"/>
          <w:sz w:val="32"/>
          <w:szCs w:val="32"/>
        </w:rPr>
        <w:t>财物</w:t>
      </w:r>
      <w:r>
        <w:rPr>
          <w:rFonts w:ascii="仿宋_GB2312" w:hAnsi="仿宋_GB2312" w:eastAsia="仿宋_GB2312" w:cs="宋体"/>
          <w:spacing w:val="8"/>
          <w:kern w:val="0"/>
          <w:sz w:val="32"/>
          <w:szCs w:val="32"/>
        </w:rPr>
        <w:t>加贴封条</w:t>
      </w:r>
      <w:r>
        <w:rPr>
          <w:rFonts w:hint="eastAsia" w:ascii="仿宋_GB2312" w:hAnsi="仿宋_GB2312" w:eastAsia="仿宋_GB2312" w:cs="宋体"/>
          <w:spacing w:val="8"/>
          <w:kern w:val="0"/>
          <w:sz w:val="32"/>
          <w:szCs w:val="32"/>
        </w:rPr>
        <w:t>。封条应当</w:t>
      </w:r>
      <w:r>
        <w:rPr>
          <w:rFonts w:ascii="仿宋_GB2312" w:hAnsi="仿宋_GB2312" w:eastAsia="仿宋_GB2312" w:cs="宋体"/>
          <w:spacing w:val="8"/>
          <w:kern w:val="0"/>
          <w:sz w:val="32"/>
          <w:szCs w:val="32"/>
        </w:rPr>
        <w:t>标明日期，</w:t>
      </w:r>
      <w:r>
        <w:rPr>
          <w:rFonts w:hint="eastAsia" w:ascii="仿宋_GB2312" w:hAnsi="仿宋_GB2312" w:eastAsia="仿宋_GB2312" w:cs="宋体"/>
          <w:spacing w:val="8"/>
          <w:kern w:val="0"/>
          <w:sz w:val="32"/>
          <w:szCs w:val="32"/>
        </w:rPr>
        <w:t>并</w:t>
      </w:r>
      <w:r>
        <w:rPr>
          <w:rFonts w:ascii="仿宋_GB2312" w:hAnsi="仿宋_GB2312" w:eastAsia="仿宋_GB2312" w:cs="宋体"/>
          <w:spacing w:val="8"/>
          <w:kern w:val="0"/>
          <w:sz w:val="32"/>
          <w:szCs w:val="32"/>
        </w:rPr>
        <w:t>加盖</w:t>
      </w:r>
      <w:r>
        <w:rPr>
          <w:rFonts w:hint="eastAsia" w:ascii="仿宋_GB2312" w:hAnsi="仿宋_GB2312" w:eastAsia="仿宋_GB2312" w:cs="宋体"/>
          <w:spacing w:val="8"/>
          <w:kern w:val="0"/>
          <w:sz w:val="32"/>
          <w:szCs w:val="32"/>
        </w:rPr>
        <w:t>农业行政</w:t>
      </w:r>
      <w:r>
        <w:rPr>
          <w:rFonts w:ascii="仿宋_GB2312" w:hAnsi="仿宋_GB2312" w:eastAsia="仿宋_GB2312" w:cs="宋体"/>
          <w:spacing w:val="8"/>
          <w:kern w:val="0"/>
          <w:sz w:val="32"/>
          <w:szCs w:val="32"/>
        </w:rPr>
        <w:t>执法机关印章</w:t>
      </w:r>
      <w:r>
        <w:rPr>
          <w:rFonts w:hint="eastAsia" w:ascii="仿宋_GB2312" w:hAnsi="仿宋_GB2312" w:eastAsia="仿宋_GB2312" w:cs="宋体"/>
          <w:spacing w:val="8"/>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58" w:firstLineChars="196"/>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《查封（扣押）现场笔录》是农业行政执法机关在案件调查过程中，依法对</w:t>
      </w:r>
      <w:r>
        <w:rPr>
          <w:rFonts w:ascii="仿宋_GB2312" w:hAnsi="仿宋_GB2312" w:eastAsia="仿宋_GB2312" w:cs="宋体"/>
          <w:spacing w:val="8"/>
          <w:kern w:val="0"/>
          <w:sz w:val="32"/>
          <w:szCs w:val="32"/>
        </w:rPr>
        <w:t>涉案场所、设施或者</w:t>
      </w:r>
      <w:r>
        <w:rPr>
          <w:rFonts w:hint="eastAsia" w:ascii="仿宋_GB2312" w:hAnsi="仿宋_GB2312" w:eastAsia="仿宋_GB2312" w:cs="宋体"/>
          <w:spacing w:val="8"/>
          <w:kern w:val="0"/>
          <w:sz w:val="32"/>
          <w:szCs w:val="32"/>
        </w:rPr>
        <w:t>财物</w:t>
      </w:r>
      <w:r>
        <w:rPr>
          <w:rFonts w:ascii="仿宋_GB2312" w:hAnsi="仿宋_GB2312" w:eastAsia="仿宋_GB2312" w:cs="宋体"/>
          <w:spacing w:val="8"/>
          <w:kern w:val="0"/>
          <w:sz w:val="32"/>
          <w:szCs w:val="32"/>
        </w:rPr>
        <w:t>采取</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强制措施</w:t>
      </w:r>
      <w:r>
        <w:rPr>
          <w:rFonts w:hint="eastAsia" w:ascii="仿宋_GB2312" w:hAnsi="仿宋_GB2312" w:eastAsia="仿宋_GB2312" w:cs="宋体"/>
          <w:spacing w:val="8"/>
          <w:kern w:val="0"/>
          <w:sz w:val="32"/>
          <w:szCs w:val="32"/>
        </w:rPr>
        <w:t>，对实施查封（扣押）以及其他现场情况进行记录时使用的文书。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658" w:firstLineChars="196"/>
        <w:textAlignment w:val="auto"/>
        <w:rPr>
          <w:rFonts w:ascii="黑体" w:hAnsi="黑体" w:eastAsia="黑体" w:cs="宋体"/>
          <w:spacing w:val="8"/>
          <w:kern w:val="0"/>
          <w:sz w:val="32"/>
          <w:szCs w:val="32"/>
        </w:rPr>
      </w:pPr>
      <w:r>
        <w:rPr>
          <w:rFonts w:hint="eastAsia" w:ascii="仿宋_GB2312" w:hAnsi="仿宋_GB2312" w:eastAsia="仿宋_GB2312" w:cs="宋体"/>
          <w:spacing w:val="8"/>
          <w:kern w:val="0"/>
          <w:sz w:val="32"/>
          <w:szCs w:val="32"/>
        </w:rPr>
        <w:t>《查封（扣押）现场笔录》应当</w:t>
      </w:r>
      <w:r>
        <w:rPr>
          <w:rFonts w:ascii="仿宋_GB2312" w:hAnsi="仿宋_GB2312" w:eastAsia="仿宋_GB2312" w:cs="宋体"/>
          <w:spacing w:val="8"/>
          <w:kern w:val="0"/>
          <w:sz w:val="32"/>
          <w:szCs w:val="32"/>
        </w:rPr>
        <w:t>对</w:t>
      </w:r>
      <w:r>
        <w:rPr>
          <w:rFonts w:hint="eastAsia" w:ascii="仿宋_GB2312" w:hAnsi="仿宋_GB2312" w:eastAsia="仿宋_GB2312" w:cs="宋体"/>
          <w:spacing w:val="8"/>
          <w:kern w:val="0"/>
          <w:sz w:val="32"/>
          <w:szCs w:val="32"/>
        </w:rPr>
        <w:t>实施查封（扣押）</w:t>
      </w:r>
      <w:r>
        <w:rPr>
          <w:rFonts w:ascii="仿宋_GB2312" w:hAnsi="仿宋_GB2312" w:eastAsia="仿宋_GB2312" w:cs="宋体"/>
          <w:spacing w:val="8"/>
          <w:kern w:val="0"/>
          <w:sz w:val="32"/>
          <w:szCs w:val="32"/>
        </w:rPr>
        <w:t>的物品名称、数量、包装形式、规格等作全面、客观、准确的记录</w:t>
      </w:r>
      <w:r>
        <w:rPr>
          <w:rFonts w:hint="eastAsia" w:ascii="仿宋_GB2312" w:hAnsi="仿宋_GB2312" w:eastAsia="仿宋_GB2312" w:cs="宋体"/>
          <w:spacing w:val="8"/>
          <w:kern w:val="0"/>
          <w:sz w:val="32"/>
          <w:szCs w:val="32"/>
        </w:rPr>
        <w:t>，并记录查封（扣押）决定书及财物清单送达、当事人到场、实施查封（扣</w:t>
      </w:r>
      <w:r>
        <w:rPr>
          <w:rFonts w:hint="eastAsia" w:ascii="仿宋_GB2312" w:hAnsi="仿宋_GB2312" w:eastAsia="仿宋_GB2312" w:cs="宋体"/>
          <w:color w:val="333333"/>
          <w:spacing w:val="8"/>
          <w:kern w:val="0"/>
          <w:sz w:val="32"/>
          <w:szCs w:val="32"/>
        </w:rPr>
        <w:t>押）过程、当事人陈述申辩以及其他有关情况</w:t>
      </w:r>
      <w:r>
        <w:rPr>
          <w:rFonts w:ascii="仿宋_GB2312" w:hAnsi="仿宋_GB2312" w:eastAsia="仿宋_GB2312" w:cs="宋体"/>
          <w:spacing w:val="8"/>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四十一</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解除查封（扣押）决定书</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是农业</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执法机关</w:t>
      </w:r>
      <w:r>
        <w:rPr>
          <w:rFonts w:hint="eastAsia" w:ascii="仿宋_GB2312" w:hAnsi="仿宋_GB2312" w:eastAsia="仿宋_GB2312" w:cs="宋体"/>
          <w:spacing w:val="8"/>
          <w:kern w:val="0"/>
          <w:sz w:val="32"/>
          <w:szCs w:val="32"/>
        </w:rPr>
        <w:t>经</w:t>
      </w:r>
      <w:r>
        <w:rPr>
          <w:rFonts w:ascii="仿宋_GB2312" w:hAnsi="仿宋_GB2312" w:eastAsia="仿宋_GB2312" w:cs="宋体"/>
          <w:spacing w:val="8"/>
          <w:kern w:val="0"/>
          <w:sz w:val="32"/>
          <w:szCs w:val="32"/>
        </w:rPr>
        <w:t>调查核实，依法对查封（扣押）场所、设施或者</w:t>
      </w:r>
      <w:r>
        <w:rPr>
          <w:rFonts w:hint="eastAsia" w:ascii="仿宋_GB2312" w:hAnsi="仿宋_GB2312" w:eastAsia="仿宋_GB2312" w:cs="宋体"/>
          <w:spacing w:val="8"/>
          <w:kern w:val="0"/>
          <w:sz w:val="32"/>
          <w:szCs w:val="32"/>
        </w:rPr>
        <w:t>财物</w:t>
      </w:r>
      <w:r>
        <w:rPr>
          <w:rFonts w:ascii="仿宋_GB2312" w:hAnsi="仿宋_GB2312" w:eastAsia="仿宋_GB2312" w:cs="宋体"/>
          <w:spacing w:val="8"/>
          <w:kern w:val="0"/>
          <w:sz w:val="32"/>
          <w:szCs w:val="32"/>
        </w:rPr>
        <w:t>解除</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强制措施并告知当事人</w:t>
      </w:r>
      <w:r>
        <w:rPr>
          <w:rFonts w:hint="eastAsia" w:ascii="仿宋_GB2312" w:hAnsi="仿宋_GB2312" w:eastAsia="仿宋_GB2312" w:cs="宋体"/>
          <w:spacing w:val="8"/>
          <w:kern w:val="0"/>
          <w:sz w:val="32"/>
          <w:szCs w:val="32"/>
        </w:rPr>
        <w:t>时使用</w:t>
      </w:r>
      <w:r>
        <w:rPr>
          <w:rFonts w:ascii="仿宋_GB2312" w:hAnsi="仿宋_GB2312" w:eastAsia="仿宋_GB2312" w:cs="宋体"/>
          <w:spacing w:val="8"/>
          <w:kern w:val="0"/>
          <w:sz w:val="32"/>
          <w:szCs w:val="32"/>
        </w:rPr>
        <w:t xml:space="preserve">的文书。 </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查封（扣押）</w:t>
      </w:r>
      <w:r>
        <w:rPr>
          <w:rFonts w:hint="eastAsia" w:ascii="仿宋_GB2312" w:hAnsi="仿宋_GB2312" w:eastAsia="仿宋_GB2312" w:cs="宋体"/>
          <w:spacing w:val="8"/>
          <w:kern w:val="0"/>
          <w:sz w:val="32"/>
          <w:szCs w:val="32"/>
        </w:rPr>
        <w:t>期限经延长的，应当载明延长行政强制措施决定的理由和相应内容。</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四十二</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《查封（扣押）/解除查封（扣押）财物清单》</w:t>
      </w:r>
      <w:r>
        <w:rPr>
          <w:rFonts w:ascii="仿宋_GB2312" w:hAnsi="仿宋_GB2312" w:eastAsia="仿宋_GB2312" w:cs="宋体"/>
          <w:spacing w:val="8"/>
          <w:kern w:val="0"/>
          <w:sz w:val="32"/>
          <w:szCs w:val="32"/>
        </w:rPr>
        <w:t>是</w:t>
      </w:r>
      <w:r>
        <w:rPr>
          <w:rFonts w:hint="eastAsia" w:ascii="仿宋_GB2312" w:hAnsi="仿宋_GB2312" w:eastAsia="仿宋_GB2312" w:cs="宋体"/>
          <w:spacing w:val="8"/>
          <w:kern w:val="0"/>
          <w:sz w:val="32"/>
          <w:szCs w:val="32"/>
        </w:rPr>
        <w:t>农业行政执法机关依法</w:t>
      </w:r>
      <w:r>
        <w:rPr>
          <w:rFonts w:ascii="仿宋_GB2312" w:hAnsi="仿宋_GB2312" w:eastAsia="仿宋_GB2312" w:cs="宋体"/>
          <w:spacing w:val="8"/>
          <w:kern w:val="0"/>
          <w:sz w:val="32"/>
          <w:szCs w:val="32"/>
        </w:rPr>
        <w:t>对</w:t>
      </w:r>
      <w:r>
        <w:rPr>
          <w:rFonts w:hint="eastAsia" w:ascii="仿宋_GB2312" w:hAnsi="仿宋_GB2312" w:eastAsia="仿宋_GB2312" w:cs="宋体"/>
          <w:spacing w:val="8"/>
          <w:kern w:val="0"/>
          <w:sz w:val="32"/>
          <w:szCs w:val="32"/>
        </w:rPr>
        <w:t>查封、扣押或者解除查封、扣押的</w:t>
      </w:r>
      <w:r>
        <w:rPr>
          <w:rFonts w:ascii="仿宋_GB2312" w:hAnsi="仿宋_GB2312" w:eastAsia="仿宋_GB2312" w:cs="宋体"/>
          <w:spacing w:val="8"/>
          <w:kern w:val="0"/>
          <w:sz w:val="32"/>
          <w:szCs w:val="32"/>
        </w:rPr>
        <w:t>涉案财物进行详细登记造册</w:t>
      </w:r>
      <w:r>
        <w:rPr>
          <w:rFonts w:hint="eastAsia" w:ascii="仿宋_GB2312" w:hAnsi="仿宋_GB2312" w:eastAsia="仿宋_GB2312" w:cs="宋体"/>
          <w:spacing w:val="8"/>
          <w:kern w:val="0"/>
          <w:sz w:val="32"/>
          <w:szCs w:val="32"/>
        </w:rPr>
        <w:t>时使用的文书</w:t>
      </w:r>
      <w:r>
        <w:rPr>
          <w:rFonts w:ascii="仿宋_GB2312" w:hAnsi="仿宋_GB2312" w:eastAsia="仿宋_GB2312" w:cs="宋体"/>
          <w:spacing w:val="8"/>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当事人核对无误后，可由其在清单末尾写明“上述内容经核对无误”。清单应当由当事人逐页签名、盖章或者按指纹确认。执法人员应当在清单上逐页签名。</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四十三</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案件</w:t>
      </w:r>
      <w:r>
        <w:rPr>
          <w:rFonts w:hint="eastAsia" w:ascii="仿宋_GB2312" w:hAnsi="仿宋_GB2312" w:eastAsia="仿宋_GB2312" w:cs="宋体"/>
          <w:spacing w:val="8"/>
          <w:kern w:val="0"/>
          <w:sz w:val="32"/>
          <w:szCs w:val="32"/>
        </w:rPr>
        <w:t>中止调查决定</w:t>
      </w:r>
      <w:r>
        <w:rPr>
          <w:rFonts w:ascii="仿宋_GB2312" w:hAnsi="仿宋_GB2312" w:eastAsia="仿宋_GB2312" w:cs="宋体"/>
          <w:spacing w:val="8"/>
          <w:kern w:val="0"/>
          <w:sz w:val="32"/>
          <w:szCs w:val="32"/>
        </w:rPr>
        <w:t>书</w:t>
      </w:r>
      <w:r>
        <w:rPr>
          <w:rFonts w:hint="eastAsia" w:ascii="仿宋_GB2312" w:hAnsi="仿宋_GB2312" w:eastAsia="仿宋_GB2312" w:cs="宋体"/>
          <w:spacing w:val="8"/>
          <w:kern w:val="0"/>
          <w:sz w:val="32"/>
          <w:szCs w:val="32"/>
        </w:rPr>
        <w:t>》是农业行政执法机关依法决定中止调查案件时使用的文书。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四十四</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《恢复案</w:t>
      </w:r>
      <w:r>
        <w:rPr>
          <w:rFonts w:ascii="仿宋_GB2312" w:hAnsi="仿宋_GB2312" w:eastAsia="仿宋_GB2312" w:cs="宋体"/>
          <w:spacing w:val="8"/>
          <w:kern w:val="0"/>
          <w:sz w:val="32"/>
          <w:szCs w:val="32"/>
        </w:rPr>
        <w:t>件</w:t>
      </w:r>
      <w:r>
        <w:rPr>
          <w:rFonts w:hint="eastAsia" w:ascii="仿宋_GB2312" w:hAnsi="仿宋_GB2312" w:eastAsia="仿宋_GB2312" w:cs="宋体"/>
          <w:spacing w:val="8"/>
          <w:kern w:val="0"/>
          <w:sz w:val="32"/>
          <w:szCs w:val="32"/>
        </w:rPr>
        <w:t>调查决定</w:t>
      </w:r>
      <w:r>
        <w:rPr>
          <w:rFonts w:ascii="仿宋_GB2312" w:hAnsi="仿宋_GB2312" w:eastAsia="仿宋_GB2312" w:cs="宋体"/>
          <w:spacing w:val="8"/>
          <w:kern w:val="0"/>
          <w:sz w:val="32"/>
          <w:szCs w:val="32"/>
        </w:rPr>
        <w:t>书</w:t>
      </w:r>
      <w:r>
        <w:rPr>
          <w:rFonts w:hint="eastAsia" w:ascii="仿宋_GB2312" w:hAnsi="仿宋_GB2312" w:eastAsia="仿宋_GB2312" w:cs="宋体"/>
          <w:spacing w:val="8"/>
          <w:kern w:val="0"/>
          <w:sz w:val="32"/>
          <w:szCs w:val="32"/>
        </w:rPr>
        <w:t>》是农业行政执法机关依法决定恢复调查案件时使用的文书。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四十五</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案件处理意见书</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是案件调查结束后，</w:t>
      </w:r>
      <w:r>
        <w:rPr>
          <w:rFonts w:hint="eastAsia" w:ascii="仿宋_GB2312" w:hAnsi="仿宋_GB2312" w:eastAsia="仿宋_GB2312" w:cs="宋体"/>
          <w:spacing w:val="8"/>
          <w:kern w:val="0"/>
          <w:sz w:val="32"/>
          <w:szCs w:val="32"/>
        </w:rPr>
        <w:t>农业行政</w:t>
      </w:r>
      <w:r>
        <w:rPr>
          <w:rFonts w:ascii="仿宋_GB2312" w:hAnsi="仿宋_GB2312" w:eastAsia="仿宋_GB2312" w:cs="宋体"/>
          <w:spacing w:val="8"/>
          <w:kern w:val="0"/>
          <w:sz w:val="32"/>
          <w:szCs w:val="32"/>
        </w:rPr>
        <w:t>执法</w:t>
      </w:r>
      <w:r>
        <w:rPr>
          <w:rFonts w:hint="eastAsia" w:ascii="仿宋_GB2312" w:hAnsi="仿宋_GB2312" w:eastAsia="仿宋_GB2312" w:cs="宋体"/>
          <w:spacing w:val="8"/>
          <w:kern w:val="0"/>
          <w:sz w:val="32"/>
          <w:szCs w:val="32"/>
        </w:rPr>
        <w:t>人员</w:t>
      </w:r>
      <w:r>
        <w:rPr>
          <w:rFonts w:ascii="仿宋_GB2312" w:hAnsi="仿宋_GB2312" w:eastAsia="仿宋_GB2312" w:cs="宋体"/>
          <w:spacing w:val="8"/>
          <w:kern w:val="0"/>
          <w:sz w:val="32"/>
          <w:szCs w:val="32"/>
        </w:rPr>
        <w:t>就案件调查经过、证据材料、调查结论及处理意见报请</w:t>
      </w:r>
      <w:r>
        <w:rPr>
          <w:rFonts w:hint="eastAsia" w:ascii="仿宋_GB2312" w:hAnsi="仿宋_GB2312" w:eastAsia="仿宋_GB2312" w:cs="宋体"/>
          <w:spacing w:val="8"/>
          <w:kern w:val="0"/>
          <w:sz w:val="32"/>
          <w:szCs w:val="32"/>
        </w:rPr>
        <w:t>农业行政</w:t>
      </w:r>
      <w:r>
        <w:rPr>
          <w:rFonts w:ascii="仿宋_GB2312" w:hAnsi="仿宋_GB2312" w:eastAsia="仿宋_GB2312" w:cs="宋体"/>
          <w:spacing w:val="8"/>
          <w:kern w:val="0"/>
          <w:sz w:val="32"/>
          <w:szCs w:val="32"/>
        </w:rPr>
        <w:t>执法机关负责人审批</w:t>
      </w:r>
      <w:r>
        <w:rPr>
          <w:rFonts w:hint="eastAsia" w:ascii="仿宋_GB2312" w:hAnsi="仿宋_GB2312" w:eastAsia="仿宋_GB2312" w:cs="宋体"/>
          <w:spacing w:val="8"/>
          <w:kern w:val="0"/>
          <w:sz w:val="32"/>
          <w:szCs w:val="32"/>
        </w:rPr>
        <w:t>时使用的</w:t>
      </w:r>
      <w:r>
        <w:rPr>
          <w:rFonts w:ascii="仿宋_GB2312" w:hAnsi="仿宋_GB2312" w:eastAsia="仿宋_GB2312" w:cs="宋体"/>
          <w:spacing w:val="8"/>
          <w:kern w:val="0"/>
          <w:sz w:val="32"/>
          <w:szCs w:val="32"/>
        </w:rPr>
        <w:t>文书。</w:t>
      </w:r>
    </w:p>
    <w:p>
      <w:pPr>
        <w:keepNext w:val="0"/>
        <w:keepLines w:val="0"/>
        <w:pageBreakBefore w:val="0"/>
        <w:widowControl/>
        <w:kinsoku/>
        <w:wordWrap/>
        <w:overflowPunct/>
        <w:topLinePunct w:val="0"/>
        <w:autoSpaceDE/>
        <w:autoSpaceDN/>
        <w:bidi w:val="0"/>
        <w:adjustRightInd w:val="0"/>
        <w:snapToGrid w:val="0"/>
        <w:spacing w:line="560" w:lineRule="exact"/>
        <w:ind w:firstLine="658" w:firstLineChars="196"/>
        <w:textAlignment w:val="auto"/>
        <w:rPr>
          <w:rFonts w:ascii="仿宋_GB2312" w:hAnsi="仿宋_GB2312" w:eastAsia="仿宋_GB2312"/>
          <w:sz w:val="32"/>
          <w:szCs w:val="32"/>
        </w:rPr>
      </w:pPr>
      <w:r>
        <w:rPr>
          <w:rFonts w:hint="eastAsia" w:ascii="仿宋_GB2312" w:hAnsi="仿宋_GB2312" w:eastAsia="仿宋_GB2312" w:cs="宋体"/>
          <w:spacing w:val="8"/>
          <w:kern w:val="0"/>
          <w:sz w:val="32"/>
          <w:szCs w:val="32"/>
        </w:rPr>
        <w:t>“案件名称”栏按照“当事人姓名（名称）+涉嫌+违法行为性质+案”的方式表述。</w:t>
      </w:r>
    </w:p>
    <w:p>
      <w:pPr>
        <w:keepNext w:val="0"/>
        <w:keepLines w:val="0"/>
        <w:pageBreakBefore w:val="0"/>
        <w:widowControl/>
        <w:kinsoku/>
        <w:wordWrap/>
        <w:overflowPunct/>
        <w:topLinePunct w:val="0"/>
        <w:autoSpaceDE/>
        <w:autoSpaceDN/>
        <w:bidi w:val="0"/>
        <w:adjustRightInd w:val="0"/>
        <w:snapToGrid w:val="0"/>
        <w:spacing w:line="560" w:lineRule="exact"/>
        <w:ind w:firstLine="627" w:firstLineChars="196"/>
        <w:textAlignment w:val="auto"/>
        <w:rPr>
          <w:rFonts w:ascii="仿宋_GB2312" w:hAnsi="仿宋_GB2312" w:eastAsia="仿宋_GB2312"/>
          <w:sz w:val="32"/>
          <w:szCs w:val="32"/>
        </w:rPr>
      </w:pPr>
      <w:r>
        <w:rPr>
          <w:rFonts w:hint="eastAsia" w:ascii="仿宋_GB2312" w:hAnsi="仿宋_GB2312" w:eastAsia="仿宋_GB2312"/>
          <w:sz w:val="32"/>
          <w:szCs w:val="32"/>
        </w:rPr>
        <w:t>“案件调查过程”栏</w:t>
      </w:r>
      <w:r>
        <w:rPr>
          <w:rFonts w:ascii="仿宋_GB2312" w:hAnsi="仿宋_GB2312" w:eastAsia="仿宋_GB2312"/>
          <w:sz w:val="32"/>
          <w:szCs w:val="32"/>
        </w:rPr>
        <w:t>，</w:t>
      </w:r>
      <w:r>
        <w:rPr>
          <w:rFonts w:hint="eastAsia" w:ascii="仿宋_GB2312" w:hAnsi="仿宋_GB2312" w:eastAsia="仿宋_GB2312"/>
          <w:sz w:val="32"/>
          <w:szCs w:val="32"/>
        </w:rPr>
        <w:t>可以</w:t>
      </w:r>
      <w:r>
        <w:rPr>
          <w:rFonts w:ascii="仿宋_GB2312" w:hAnsi="仿宋_GB2312" w:eastAsia="仿宋_GB2312"/>
          <w:sz w:val="32"/>
          <w:szCs w:val="32"/>
        </w:rPr>
        <w:t>写明案件线索来源、核查及立案的时间以及采取的</w:t>
      </w:r>
      <w:r>
        <w:rPr>
          <w:rFonts w:hint="eastAsia" w:ascii="仿宋_GB2312" w:hAnsi="仿宋_GB2312" w:eastAsia="仿宋_GB2312"/>
          <w:sz w:val="32"/>
          <w:szCs w:val="32"/>
        </w:rPr>
        <w:t>证据</w:t>
      </w:r>
      <w:r>
        <w:rPr>
          <w:rFonts w:ascii="仿宋_GB2312" w:hAnsi="仿宋_GB2312" w:eastAsia="仿宋_GB2312"/>
          <w:sz w:val="32"/>
          <w:szCs w:val="32"/>
        </w:rPr>
        <w:t>先行登记保存、行政强制措施、现场检查、抽样取证等案件调查情况。</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“涉嫌违法事实及证据材料”栏，</w:t>
      </w:r>
      <w:r>
        <w:rPr>
          <w:rFonts w:hint="eastAsia" w:ascii="仿宋_GB2312" w:hAnsi="仿宋_GB2312" w:eastAsia="仿宋_GB2312"/>
          <w:sz w:val="32"/>
          <w:szCs w:val="32"/>
        </w:rPr>
        <w:t>填写</w:t>
      </w:r>
      <w:r>
        <w:rPr>
          <w:rFonts w:hint="eastAsia" w:ascii="仿宋_GB2312" w:hAnsi="仿宋_GB2312" w:eastAsia="仿宋_GB2312" w:cs="宋体"/>
          <w:spacing w:val="8"/>
          <w:kern w:val="0"/>
          <w:sz w:val="32"/>
          <w:szCs w:val="32"/>
        </w:rPr>
        <w:t>调查认定的事实的证据，列举的证据应当符合证据的基本要素，根据证据规则应当能够认定案件事实。必要时可以将证据与所证明的事实对应列明。</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hint="eastAsia"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w:t>
      </w:r>
      <w:r>
        <w:rPr>
          <w:rFonts w:hint="eastAsia" w:ascii="仿宋_GB2312" w:hAnsi="仿宋_GB2312" w:eastAsia="仿宋_GB2312" w:cs="宋体"/>
          <w:spacing w:val="8"/>
          <w:kern w:val="0"/>
          <w:sz w:val="32"/>
          <w:szCs w:val="32"/>
        </w:rPr>
        <w:t>调查结论及处理意见</w:t>
      </w:r>
      <w:r>
        <w:rPr>
          <w:rFonts w:ascii="仿宋_GB2312" w:hAnsi="仿宋_GB2312" w:eastAsia="仿宋_GB2312" w:cs="宋体"/>
          <w:spacing w:val="8"/>
          <w:kern w:val="0"/>
          <w:sz w:val="32"/>
          <w:szCs w:val="32"/>
        </w:rPr>
        <w:t>”栏</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应当由执法人员根据案件调查情况和有关法律、法规</w:t>
      </w:r>
      <w:r>
        <w:rPr>
          <w:rFonts w:hint="eastAsia" w:ascii="仿宋_GB2312" w:hAnsi="仿宋_GB2312" w:eastAsia="仿宋_GB2312" w:cs="宋体"/>
          <w:spacing w:val="8"/>
          <w:kern w:val="0"/>
          <w:sz w:val="32"/>
          <w:szCs w:val="32"/>
        </w:rPr>
        <w:t>和规章</w:t>
      </w:r>
      <w:r>
        <w:rPr>
          <w:rFonts w:ascii="仿宋_GB2312" w:hAnsi="仿宋_GB2312" w:eastAsia="仿宋_GB2312" w:cs="宋体"/>
          <w:spacing w:val="8"/>
          <w:kern w:val="0"/>
          <w:sz w:val="32"/>
          <w:szCs w:val="32"/>
        </w:rPr>
        <w:t>的规定提出处理意见</w:t>
      </w:r>
      <w:r>
        <w:rPr>
          <w:rFonts w:hint="eastAsia" w:ascii="仿宋_GB2312" w:hAnsi="仿宋_GB2312" w:eastAsia="仿宋_GB2312" w:cs="宋体"/>
          <w:spacing w:val="8"/>
          <w:kern w:val="0"/>
          <w:sz w:val="32"/>
          <w:szCs w:val="32"/>
        </w:rPr>
        <w:t>，包括建议给予行政处罚、予以撤销案件、不予行政处罚、移送其他行政管理部门处理、移送司法机关等。</w:t>
      </w:r>
      <w:r>
        <w:rPr>
          <w:rFonts w:ascii="仿宋_GB2312" w:hAnsi="仿宋_GB2312" w:eastAsia="仿宋_GB2312" w:cs="宋体"/>
          <w:spacing w:val="8"/>
          <w:kern w:val="0"/>
          <w:sz w:val="32"/>
          <w:szCs w:val="32"/>
        </w:rPr>
        <w:t>据以立案的违法事实不存在的，应当写明建议终结调查并结案等内容</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对依法应给予行政处罚的，应当写明给予行政处罚的种类、幅度及法律依据等。</w:t>
      </w:r>
      <w:r>
        <w:rPr>
          <w:rFonts w:hint="eastAsia" w:ascii="仿宋_GB2312" w:hAnsi="仿宋_GB2312" w:eastAsia="仿宋_GB2312" w:cs="宋体"/>
          <w:spacing w:val="8"/>
          <w:kern w:val="0"/>
          <w:sz w:val="32"/>
          <w:szCs w:val="32"/>
        </w:rPr>
        <w:t>从重、从轻或者减轻处罚的，应当写明理由。</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“法制机构意见”栏由各省级农业行政处罚机关决定是否选择适用。</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“执法机关负责人意见”栏由农业行政执法机关负责人根据《农业行政处罚程序规定》第四十九条规定的情形填写。</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《农业行政处罚程序规定》第四十八条规定的中止调查情形，不适用本文书。</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四十六</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《行政处罚事先告知书》（适用非听证案件）是农业行政执法机关在</w:t>
      </w:r>
      <w:r>
        <w:rPr>
          <w:rFonts w:hint="eastAsia" w:ascii="仿宋_GB2312" w:hAnsi="仿宋_GB2312" w:eastAsia="仿宋_GB2312" w:cs="宋体"/>
          <w:color w:val="000000" w:themeColor="text1"/>
          <w:spacing w:val="8"/>
          <w:kern w:val="0"/>
          <w:sz w:val="32"/>
          <w:szCs w:val="32"/>
        </w:rPr>
        <w:t>适用非听证程序作出行政处罚决定前</w:t>
      </w:r>
      <w:r>
        <w:rPr>
          <w:rFonts w:hint="eastAsia" w:ascii="仿宋_GB2312" w:hAnsi="仿宋_GB2312" w:eastAsia="仿宋_GB2312" w:cs="宋体"/>
          <w:spacing w:val="8"/>
          <w:kern w:val="0"/>
          <w:sz w:val="32"/>
          <w:szCs w:val="32"/>
        </w:rPr>
        <w:t>，依法告知当事人拟作出行政处罚决定的事实、理由、依据、处罚内容和当事人所享有的陈述权、申辩权时使用的文书。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行政处罚事先告知书》（适用听证案件）是农业行政执法机关在依法作出责令停产停业、吊销许可证照、较大数额罚款、没收较大数额财物等重大行政处罚决定之前，依法告知当事人拟作出行政处罚决定的事实、理由、依据及处罚内容和当事人所享有的陈述权、申辩权、听证权时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行政处罚事先告知书应当针对当事人的违法行为写明拟处罚的事实理由、依据、处罚内容，引用法律依据时应当写明法律、法规、规章的具体条款。</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四十七</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《不予行政处罚决定书》是农业行政执法机关对符合法定不予处罚情形，依法作出不予行政处罚决定时使用的文书</w:t>
      </w:r>
      <w:r>
        <w:rPr>
          <w:rFonts w:ascii="仿宋_GB2312" w:hAnsi="仿宋_GB2312" w:eastAsia="仿宋_GB2312" w:cs="宋体"/>
          <w:spacing w:val="8"/>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四十八</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《行政处罚决定审批表》是农业行政执法机构在案件调查终结之后，将案件情况和处理意见提请法制审核、负责人审查时使用的文书。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“案件名称”按照“当事人姓名（名称）+违法行为性质+案”的方式表述，由执法机构填写。“陈述、申辩或者听证情况”栏填写当事人陈述、申辩或者听证情况，由执法机构填写。</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“处理意见”栏由执法机构办案人员填写。</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“法制审核”栏由承担法制审核工作的机构或者人员根据《农业行政处罚程序规定》第五十一条、五十二条规定填写。</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“集体讨论情况”栏仅适用符合《农业行政处罚程序规定》第五十五条规定的案件，根据农业行政执法机关负责人集体讨论情况填写集体讨论的结论或者决定，并将集体讨论记录附表后。</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“执法机关意见”栏，由农业行政执法机关负责人填写；符合《农业行政处罚程序规定》第五十五条规定情形的，由农业行政执法机关主要负责人根据集体讨论决定填写。</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四十九</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行政处罚</w:t>
      </w:r>
      <w:r>
        <w:rPr>
          <w:rFonts w:hint="eastAsia" w:ascii="仿宋_GB2312" w:hAnsi="仿宋_GB2312" w:eastAsia="仿宋_GB2312" w:cs="宋体"/>
          <w:spacing w:val="8"/>
          <w:kern w:val="0"/>
          <w:sz w:val="32"/>
          <w:szCs w:val="32"/>
        </w:rPr>
        <w:t>决定</w:t>
      </w:r>
      <w:r>
        <w:rPr>
          <w:rFonts w:ascii="仿宋_GB2312" w:hAnsi="仿宋_GB2312" w:eastAsia="仿宋_GB2312" w:cs="宋体"/>
          <w:spacing w:val="8"/>
          <w:kern w:val="0"/>
          <w:sz w:val="32"/>
          <w:szCs w:val="32"/>
        </w:rPr>
        <w:t>书</w:t>
      </w:r>
      <w:r>
        <w:rPr>
          <w:rFonts w:hint="eastAsia" w:ascii="仿宋_GB2312" w:hAnsi="仿宋_GB2312" w:eastAsia="仿宋_GB2312" w:cs="宋体"/>
          <w:spacing w:val="8"/>
          <w:kern w:val="0"/>
          <w:sz w:val="32"/>
          <w:szCs w:val="32"/>
        </w:rPr>
        <w:t>》是</w:t>
      </w:r>
      <w:r>
        <w:rPr>
          <w:rFonts w:ascii="仿宋_GB2312" w:hAnsi="仿宋_GB2312" w:eastAsia="仿宋_GB2312" w:cs="宋体"/>
          <w:spacing w:val="8"/>
          <w:kern w:val="0"/>
          <w:sz w:val="32"/>
          <w:szCs w:val="32"/>
        </w:rPr>
        <w:t>农业</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执法机关</w:t>
      </w:r>
      <w:r>
        <w:rPr>
          <w:rFonts w:hint="eastAsia" w:ascii="仿宋_GB2312" w:hAnsi="仿宋_GB2312" w:eastAsia="仿宋_GB2312" w:cs="宋体"/>
          <w:spacing w:val="8"/>
          <w:kern w:val="0"/>
          <w:sz w:val="32"/>
          <w:szCs w:val="32"/>
        </w:rPr>
        <w:t>适用一般程序办理行政处罚案件，依法对当事人作出行政处罚决定时使用的文书。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件来源”部分，可写明案件线索来源、核查及立案的时间。“调查经过”部分，可写明询问、抽样取证、现场检查或者勘验、检验检测、证据先行登记保存等调查过程。“采取查封（扣押）的情况”部分，可写明采取查封（扣押）行政强制措施情况。</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“违反法律、法规或者规章的事实”部分，应当写明从事违法行为的时间、地点、情节、危害结果等。</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“相关证据及证明事项”部分，应当将认定案件事实所依据的证据列举清楚，所列举证据应当符合证据的基本要素，根据证据规则能够认定案件事实。</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当事人陈述、申辩情况，当事人陈述、申辩的采纳情况及理由；行政处罚告知、行政处罚听证告知情况，以及复核、听证过程及意见</w:t>
      </w:r>
      <w:r>
        <w:rPr>
          <w:rFonts w:hint="eastAsia" w:ascii="仿宋_GB2312" w:hAnsi="仿宋_GB2312" w:eastAsia="仿宋_GB2312" w:cs="宋体"/>
          <w:spacing w:val="8"/>
          <w:kern w:val="0"/>
          <w:sz w:val="32"/>
          <w:szCs w:val="32"/>
        </w:rPr>
        <w:t>”部分，应当写明</w:t>
      </w:r>
      <w:r>
        <w:rPr>
          <w:rFonts w:ascii="仿宋_GB2312" w:hAnsi="仿宋_GB2312" w:eastAsia="仿宋_GB2312" w:cs="宋体"/>
          <w:spacing w:val="8"/>
          <w:kern w:val="0"/>
          <w:sz w:val="32"/>
          <w:szCs w:val="32"/>
        </w:rPr>
        <w:t>行政处罚告知或者行政处罚听证告知送达情况，以及对当事人陈述、申辩意见的复核</w:t>
      </w:r>
      <w:r>
        <w:rPr>
          <w:rFonts w:hint="eastAsia" w:ascii="仿宋_GB2312" w:hAnsi="仿宋_GB2312" w:eastAsia="仿宋_GB2312" w:cs="宋体"/>
          <w:spacing w:val="8"/>
          <w:kern w:val="0"/>
          <w:sz w:val="32"/>
          <w:szCs w:val="32"/>
        </w:rPr>
        <w:t>程序和</w:t>
      </w:r>
      <w:r>
        <w:rPr>
          <w:rFonts w:ascii="仿宋_GB2312" w:hAnsi="仿宋_GB2312" w:eastAsia="仿宋_GB2312" w:cs="宋体"/>
          <w:spacing w:val="8"/>
          <w:kern w:val="0"/>
          <w:sz w:val="32"/>
          <w:szCs w:val="32"/>
        </w:rPr>
        <w:t>听证程序，说明</w:t>
      </w:r>
      <w:r>
        <w:rPr>
          <w:rFonts w:hint="eastAsia" w:ascii="仿宋_GB2312" w:hAnsi="仿宋_GB2312" w:eastAsia="仿宋_GB2312" w:cs="宋体"/>
          <w:spacing w:val="8"/>
          <w:kern w:val="0"/>
          <w:sz w:val="32"/>
          <w:szCs w:val="32"/>
        </w:rPr>
        <w:t>农业行政执法机关</w:t>
      </w:r>
      <w:r>
        <w:rPr>
          <w:rFonts w:ascii="仿宋_GB2312" w:hAnsi="仿宋_GB2312" w:eastAsia="仿宋_GB2312" w:cs="宋体"/>
          <w:spacing w:val="8"/>
          <w:kern w:val="0"/>
          <w:sz w:val="32"/>
          <w:szCs w:val="32"/>
        </w:rPr>
        <w:t>的复核意见以及采纳或者不予以采纳的理由。经过听证的案件，还</w:t>
      </w:r>
      <w:r>
        <w:rPr>
          <w:rFonts w:hint="eastAsia" w:ascii="仿宋_GB2312" w:hAnsi="仿宋_GB2312" w:eastAsia="仿宋_GB2312" w:cs="宋体"/>
          <w:spacing w:val="8"/>
          <w:kern w:val="0"/>
          <w:sz w:val="32"/>
          <w:szCs w:val="32"/>
        </w:rPr>
        <w:t>应当</w:t>
      </w:r>
      <w:r>
        <w:rPr>
          <w:rFonts w:ascii="仿宋_GB2312" w:hAnsi="仿宋_GB2312" w:eastAsia="仿宋_GB2312" w:cs="宋体"/>
          <w:spacing w:val="8"/>
          <w:kern w:val="0"/>
          <w:sz w:val="32"/>
          <w:szCs w:val="32"/>
        </w:rPr>
        <w:t>写明听证意见。</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件性质、事实、自由裁量的依据和理由，以及行政处罚的内容和依据”部分，应当写明行政处罚的依据，包括违法行为直接违反的法律、法规、规章的具体条款和行政处罚决定依据的法律、法规、规章的具体条款；应当从违法案件的具体事实、性质、情节、社会危害程度、主观过错等方面，对行政处罚自由裁量的依据和理由加以表述，阐明对当事人从重、从轻、减轻处罚的情形；应当写明行政处罚的内容，包括对当事人给予处罚的种类和数额，有多项的应当分项写明。</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行政处罚听证会通知书</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是农业</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执法机关听证组织机构</w:t>
      </w:r>
      <w:r>
        <w:rPr>
          <w:rFonts w:hint="eastAsia" w:ascii="仿宋_GB2312" w:hAnsi="仿宋_GB2312" w:eastAsia="仿宋_GB2312" w:cs="宋体"/>
          <w:spacing w:val="8"/>
          <w:kern w:val="0"/>
          <w:sz w:val="32"/>
          <w:szCs w:val="32"/>
        </w:rPr>
        <w:t>依法通知当事人举行听证的时间、地点、相关人员姓名以及其他相关事项时使用的文书</w:t>
      </w:r>
      <w:r>
        <w:rPr>
          <w:rFonts w:ascii="仿宋_GB2312" w:hAnsi="仿宋_GB2312" w:eastAsia="仿宋_GB2312" w:cs="宋体"/>
          <w:spacing w:val="8"/>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五十一</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听证笔录</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是农业</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执法机关</w:t>
      </w:r>
      <w:r>
        <w:rPr>
          <w:rFonts w:hint="eastAsia" w:ascii="仿宋_GB2312" w:hAnsi="仿宋_GB2312" w:eastAsia="仿宋_GB2312" w:cs="宋体"/>
          <w:spacing w:val="8"/>
          <w:kern w:val="0"/>
          <w:sz w:val="32"/>
          <w:szCs w:val="32"/>
        </w:rPr>
        <w:t>应当事人的申请，就行政处罚案件举行听证，由书记员对听证会全过程进行记录时使用的文书。</w:t>
      </w:r>
      <w:r>
        <w:rPr>
          <w:rFonts w:ascii="仿宋_GB2312" w:hAnsi="仿宋_GB2312" w:eastAsia="仿宋_GB2312" w:cs="宋体"/>
          <w:spacing w:val="8"/>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“听证记录”应当写明案件调查人员提出的违法事实、证据和处罚意见，当事人陈述、申辩的</w:t>
      </w:r>
      <w:r>
        <w:rPr>
          <w:rFonts w:hint="eastAsia" w:ascii="仿宋_GB2312" w:hAnsi="仿宋_GB2312" w:eastAsia="仿宋_GB2312" w:cs="宋体"/>
          <w:spacing w:val="8"/>
          <w:kern w:val="0"/>
          <w:sz w:val="32"/>
          <w:szCs w:val="32"/>
        </w:rPr>
        <w:t>事实</w:t>
      </w:r>
      <w:r>
        <w:rPr>
          <w:rFonts w:ascii="仿宋_GB2312" w:hAnsi="仿宋_GB2312" w:eastAsia="仿宋_GB2312" w:cs="宋体"/>
          <w:spacing w:val="8"/>
          <w:kern w:val="0"/>
          <w:sz w:val="32"/>
          <w:szCs w:val="32"/>
        </w:rPr>
        <w:t>理由</w:t>
      </w:r>
      <w:r>
        <w:rPr>
          <w:rFonts w:hint="eastAsia" w:ascii="仿宋_GB2312" w:hAnsi="仿宋_GB2312" w:eastAsia="仿宋_GB2312" w:cs="宋体"/>
          <w:spacing w:val="8"/>
          <w:kern w:val="0"/>
          <w:sz w:val="32"/>
          <w:szCs w:val="32"/>
        </w:rPr>
        <w:t>以及</w:t>
      </w:r>
      <w:r>
        <w:rPr>
          <w:rFonts w:ascii="仿宋_GB2312" w:hAnsi="仿宋_GB2312" w:eastAsia="仿宋_GB2312" w:cs="宋体"/>
          <w:spacing w:val="8"/>
          <w:kern w:val="0"/>
          <w:sz w:val="32"/>
          <w:szCs w:val="32"/>
        </w:rPr>
        <w:t xml:space="preserve">是否提供新的证据，证人证言、质证过程等内容。 </w:t>
      </w:r>
    </w:p>
    <w:p>
      <w:pPr>
        <w:keepNext w:val="0"/>
        <w:keepLines w:val="0"/>
        <w:pageBreakBefore w:val="0"/>
        <w:widowControl/>
        <w:kinsoku/>
        <w:wordWrap/>
        <w:overflowPunct/>
        <w:topLinePunct w:val="0"/>
        <w:autoSpaceDE/>
        <w:autoSpaceDN/>
        <w:bidi w:val="0"/>
        <w:adjustRightInd w:val="0"/>
        <w:snapToGrid w:val="0"/>
        <w:spacing w:line="560" w:lineRule="exact"/>
        <w:ind w:firstLine="672"/>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案件调查人员、当事人或</w:t>
      </w:r>
      <w:r>
        <w:rPr>
          <w:rFonts w:hint="eastAsia" w:ascii="仿宋_GB2312" w:hAnsi="仿宋_GB2312" w:eastAsia="仿宋_GB2312" w:cs="宋体"/>
          <w:spacing w:val="8"/>
          <w:kern w:val="0"/>
          <w:sz w:val="32"/>
          <w:szCs w:val="32"/>
        </w:rPr>
        <w:t>者</w:t>
      </w:r>
      <w:r>
        <w:rPr>
          <w:rFonts w:ascii="仿宋_GB2312" w:hAnsi="仿宋_GB2312" w:eastAsia="仿宋_GB2312" w:cs="宋体"/>
          <w:spacing w:val="8"/>
          <w:kern w:val="0"/>
          <w:sz w:val="32"/>
          <w:szCs w:val="32"/>
        </w:rPr>
        <w:t>其委托代理人应当在笔录上逐页签名</w:t>
      </w:r>
      <w:r>
        <w:rPr>
          <w:rFonts w:hint="eastAsia" w:ascii="仿宋_GB2312" w:hAnsi="仿宋_GB2312" w:eastAsia="仿宋_GB2312" w:cs="宋体"/>
          <w:spacing w:val="8"/>
          <w:kern w:val="0"/>
          <w:sz w:val="32"/>
          <w:szCs w:val="32"/>
        </w:rPr>
        <w:t>、盖章或者按指纹</w:t>
      </w:r>
      <w:r>
        <w:rPr>
          <w:rFonts w:ascii="仿宋_GB2312" w:hAnsi="仿宋_GB2312" w:eastAsia="仿宋_GB2312" w:cs="宋体"/>
          <w:spacing w:val="8"/>
          <w:kern w:val="0"/>
          <w:sz w:val="32"/>
          <w:szCs w:val="32"/>
        </w:rPr>
        <w:t>并在尾页注明日期；证人应当在记录其证言之页签名。</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 xml:space="preserve">    </w:t>
      </w: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五十二</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行政处罚听证会报告书</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w:t>
      </w:r>
      <w:r>
        <w:rPr>
          <w:rFonts w:hint="eastAsia" w:ascii="仿宋_GB2312" w:hAnsi="仿宋_GB2312" w:eastAsia="仿宋_GB2312" w:cs="宋体"/>
          <w:spacing w:val="8"/>
          <w:kern w:val="0"/>
          <w:sz w:val="32"/>
          <w:szCs w:val="32"/>
        </w:rPr>
        <w:t>农业行政执法机关在行政处罚案件</w:t>
      </w:r>
      <w:r>
        <w:rPr>
          <w:rFonts w:ascii="仿宋_GB2312" w:hAnsi="仿宋_GB2312" w:eastAsia="仿宋_GB2312" w:cs="宋体"/>
          <w:spacing w:val="8"/>
          <w:kern w:val="0"/>
          <w:sz w:val="32"/>
          <w:szCs w:val="32"/>
        </w:rPr>
        <w:t>听证会结束后，听证主持人向</w:t>
      </w:r>
      <w:r>
        <w:rPr>
          <w:rFonts w:hint="eastAsia" w:ascii="仿宋_GB2312" w:hAnsi="仿宋_GB2312" w:eastAsia="仿宋_GB2312" w:cs="宋体"/>
          <w:spacing w:val="8"/>
          <w:kern w:val="0"/>
          <w:sz w:val="32"/>
          <w:szCs w:val="32"/>
        </w:rPr>
        <w:t>农业行政</w:t>
      </w:r>
      <w:r>
        <w:rPr>
          <w:rFonts w:ascii="仿宋_GB2312" w:hAnsi="仿宋_GB2312" w:eastAsia="仿宋_GB2312" w:cs="宋体"/>
          <w:spacing w:val="8"/>
          <w:kern w:val="0"/>
          <w:sz w:val="32"/>
          <w:szCs w:val="32"/>
        </w:rPr>
        <w:t>执法机关负责人报告听证会情况</w:t>
      </w:r>
      <w:r>
        <w:rPr>
          <w:rFonts w:hint="eastAsia" w:ascii="仿宋_GB2312" w:hAnsi="仿宋_GB2312" w:eastAsia="仿宋_GB2312" w:cs="宋体"/>
          <w:spacing w:val="8"/>
          <w:kern w:val="0"/>
          <w:sz w:val="32"/>
          <w:szCs w:val="32"/>
        </w:rPr>
        <w:t>和处理意见建议时使用的文书。</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 xml:space="preserve">    《</w:t>
      </w:r>
      <w:r>
        <w:rPr>
          <w:rFonts w:ascii="仿宋_GB2312" w:hAnsi="仿宋_GB2312" w:eastAsia="仿宋_GB2312" w:cs="宋体"/>
          <w:spacing w:val="8"/>
          <w:kern w:val="0"/>
          <w:sz w:val="32"/>
          <w:szCs w:val="32"/>
        </w:rPr>
        <w:t>行政处罚听证会报告书</w:t>
      </w:r>
      <w:r>
        <w:rPr>
          <w:rFonts w:hint="eastAsia" w:ascii="仿宋_GB2312" w:hAnsi="仿宋_GB2312" w:eastAsia="仿宋_GB2312" w:cs="宋体"/>
          <w:spacing w:val="8"/>
          <w:kern w:val="0"/>
          <w:sz w:val="32"/>
          <w:szCs w:val="32"/>
        </w:rPr>
        <w:t>》包括以下内容：听证案由；听证人员、听证参加人；听证的时间、地点；听证的基本情况；处理意见和建议；需要报告的其他事项。</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听证主持人向执法机关负责人提交报告书时，应当附</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听证笔录</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7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五十三</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送达回证</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是农业</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执法机关</w:t>
      </w:r>
      <w:r>
        <w:rPr>
          <w:rFonts w:hint="eastAsia" w:ascii="仿宋_GB2312" w:hAnsi="仿宋_GB2312" w:eastAsia="仿宋_GB2312" w:cs="宋体"/>
          <w:spacing w:val="8"/>
          <w:kern w:val="0"/>
          <w:sz w:val="32"/>
          <w:szCs w:val="32"/>
        </w:rPr>
        <w:t>依法向当事人送达法律文书，记载相关文书送达情况时使用的文书</w:t>
      </w:r>
      <w:r>
        <w:rPr>
          <w:rFonts w:ascii="仿宋_GB2312" w:hAnsi="仿宋_GB2312" w:eastAsia="仿宋_GB2312" w:cs="宋体"/>
          <w:spacing w:val="8"/>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7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“送达时间”应当精确到日，也可根据实际情况精确到“××月××日××时××分”。</w:t>
      </w:r>
      <w:r>
        <w:rPr>
          <w:rFonts w:ascii="仿宋_GB2312" w:hAnsi="仿宋_GB2312" w:eastAsia="仿宋_GB2312" w:cs="宋体"/>
          <w:spacing w:val="8"/>
          <w:kern w:val="0"/>
          <w:sz w:val="32"/>
          <w:szCs w:val="32"/>
        </w:rPr>
        <w:t>“送达单位”指</w:t>
      </w:r>
      <w:r>
        <w:rPr>
          <w:rFonts w:hint="eastAsia" w:ascii="仿宋_GB2312" w:hAnsi="仿宋_GB2312" w:eastAsia="仿宋_GB2312" w:cs="宋体"/>
          <w:spacing w:val="8"/>
          <w:kern w:val="0"/>
          <w:sz w:val="32"/>
          <w:szCs w:val="32"/>
        </w:rPr>
        <w:t>农业行政</w:t>
      </w:r>
      <w:r>
        <w:rPr>
          <w:rFonts w:ascii="仿宋_GB2312" w:hAnsi="仿宋_GB2312" w:eastAsia="仿宋_GB2312" w:cs="宋体"/>
          <w:spacing w:val="8"/>
          <w:kern w:val="0"/>
          <w:sz w:val="32"/>
          <w:szCs w:val="32"/>
        </w:rPr>
        <w:t>执法机关</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“送达人”指</w:t>
      </w:r>
      <w:r>
        <w:rPr>
          <w:rFonts w:hint="eastAsia" w:ascii="仿宋_GB2312" w:hAnsi="仿宋_GB2312" w:eastAsia="仿宋_GB2312" w:cs="宋体"/>
          <w:spacing w:val="8"/>
          <w:kern w:val="0"/>
          <w:sz w:val="32"/>
          <w:szCs w:val="32"/>
        </w:rPr>
        <w:t>农业行政</w:t>
      </w:r>
      <w:r>
        <w:rPr>
          <w:rFonts w:ascii="仿宋_GB2312" w:hAnsi="仿宋_GB2312" w:eastAsia="仿宋_GB2312" w:cs="宋体"/>
          <w:spacing w:val="8"/>
          <w:kern w:val="0"/>
          <w:sz w:val="32"/>
          <w:szCs w:val="32"/>
        </w:rPr>
        <w:t>执法机关的执法人员或</w:t>
      </w:r>
      <w:r>
        <w:rPr>
          <w:rFonts w:hint="eastAsia" w:ascii="仿宋_GB2312" w:hAnsi="仿宋_GB2312" w:eastAsia="仿宋_GB2312" w:cs="宋体"/>
          <w:spacing w:val="8"/>
          <w:kern w:val="0"/>
          <w:sz w:val="32"/>
          <w:szCs w:val="32"/>
        </w:rPr>
        <w:t>者</w:t>
      </w:r>
      <w:r>
        <w:rPr>
          <w:rFonts w:ascii="仿宋_GB2312" w:hAnsi="仿宋_GB2312" w:eastAsia="仿宋_GB2312" w:cs="宋体"/>
          <w:spacing w:val="8"/>
          <w:kern w:val="0"/>
          <w:sz w:val="32"/>
          <w:szCs w:val="32"/>
        </w:rPr>
        <w:t>执法机关委托的有关人员</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“受送达人”指案件当事人</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收件人</w:t>
      </w:r>
      <w:r>
        <w:rPr>
          <w:rFonts w:hint="eastAsia" w:ascii="仿宋_GB2312" w:hAnsi="仿宋_GB2312" w:eastAsia="仿宋_GB2312" w:cs="宋体"/>
          <w:spacing w:val="8"/>
          <w:kern w:val="0"/>
          <w:sz w:val="32"/>
          <w:szCs w:val="32"/>
        </w:rPr>
        <w:t>应当签名、盖章或者按指纹，并填写收件时间；收件人</w:t>
      </w:r>
      <w:r>
        <w:rPr>
          <w:rFonts w:ascii="仿宋_GB2312" w:hAnsi="仿宋_GB2312" w:eastAsia="仿宋_GB2312" w:cs="宋体"/>
          <w:spacing w:val="8"/>
          <w:kern w:val="0"/>
          <w:sz w:val="32"/>
          <w:szCs w:val="32"/>
        </w:rPr>
        <w:t>不是当事人时，应当在备注栏中注明其身份和与当事人的关系</w:t>
      </w:r>
      <w:r>
        <w:rPr>
          <w:rFonts w:hint="eastAsia" w:ascii="仿宋_GB2312" w:hAnsi="仿宋_GB2312" w:eastAsia="仿宋_GB2312" w:cs="宋体"/>
          <w:spacing w:val="8"/>
          <w:kern w:val="0"/>
          <w:sz w:val="32"/>
          <w:szCs w:val="32"/>
        </w:rPr>
        <w:t>。“送达地点”</w:t>
      </w:r>
      <w:r>
        <w:rPr>
          <w:rFonts w:ascii="仿宋_GB2312" w:hAnsi="仿宋_GB2312" w:eastAsia="仿宋_GB2312" w:cs="宋体"/>
          <w:spacing w:val="8"/>
          <w:kern w:val="0"/>
          <w:sz w:val="32"/>
          <w:szCs w:val="32"/>
        </w:rPr>
        <w:t>应当填写街道、楼栋、单元、门牌号等</w:t>
      </w:r>
      <w:r>
        <w:rPr>
          <w:rFonts w:hint="eastAsia" w:ascii="仿宋_GB2312" w:hAnsi="仿宋_GB2312" w:eastAsia="仿宋_GB2312" w:cs="宋体"/>
          <w:spacing w:val="8"/>
          <w:kern w:val="0"/>
          <w:sz w:val="32"/>
          <w:szCs w:val="32"/>
        </w:rPr>
        <w:t>完</w:t>
      </w:r>
      <w:r>
        <w:rPr>
          <w:rFonts w:ascii="仿宋_GB2312" w:hAnsi="仿宋_GB2312" w:eastAsia="仿宋_GB2312" w:cs="宋体"/>
          <w:spacing w:val="8"/>
          <w:kern w:val="0"/>
          <w:sz w:val="32"/>
          <w:szCs w:val="32"/>
        </w:rPr>
        <w:t>整信息。</w:t>
      </w:r>
    </w:p>
    <w:p>
      <w:pPr>
        <w:keepNext w:val="0"/>
        <w:keepLines w:val="0"/>
        <w:pageBreakBefore w:val="0"/>
        <w:widowControl/>
        <w:kinsoku/>
        <w:wordWrap/>
        <w:overflowPunct/>
        <w:topLinePunct w:val="0"/>
        <w:autoSpaceDE/>
        <w:autoSpaceDN/>
        <w:bidi w:val="0"/>
        <w:adjustRightInd w:val="0"/>
        <w:snapToGrid w:val="0"/>
        <w:spacing w:line="560" w:lineRule="exact"/>
        <w:ind w:firstLine="7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五十四</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《履行行政处罚决定催告书》是农业行政执法机关因当事人未在规定期限内履行行政处罚决定，在申请人民法院强制执行前，依法催告当事人履行义务时使用的文书。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7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履行行政处罚决定催告书》应当载明农业行政执法机关作出行政处罚决定的文书名称、文号，行政处罚决定书确定的义务，以及没有履行义务的情况。没有履行义务的情况，可以填写尚未缴纳罚款的数额以及加处罚款的数额，如：“一、罚款3000元；二、因逾期未缴纳上述罚款，依法加处的罚款3000元”。</w:t>
      </w:r>
    </w:p>
    <w:p>
      <w:pPr>
        <w:keepNext w:val="0"/>
        <w:keepLines w:val="0"/>
        <w:pageBreakBefore w:val="0"/>
        <w:widowControl/>
        <w:kinsoku/>
        <w:wordWrap/>
        <w:overflowPunct/>
        <w:topLinePunct w:val="0"/>
        <w:autoSpaceDE/>
        <w:autoSpaceDN/>
        <w:bidi w:val="0"/>
        <w:adjustRightInd w:val="0"/>
        <w:snapToGrid w:val="0"/>
        <w:spacing w:line="560" w:lineRule="exact"/>
        <w:ind w:firstLine="7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五十五</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《强制执行申请书》是农业</w:t>
      </w:r>
      <w:r>
        <w:rPr>
          <w:rFonts w:ascii="仿宋_GB2312" w:hAnsi="仿宋_GB2312" w:eastAsia="仿宋_GB2312" w:cs="宋体"/>
          <w:spacing w:val="8"/>
          <w:kern w:val="0"/>
          <w:sz w:val="32"/>
          <w:szCs w:val="32"/>
        </w:rPr>
        <w:t>行政</w:t>
      </w:r>
      <w:r>
        <w:rPr>
          <w:rFonts w:hint="eastAsia" w:ascii="仿宋_GB2312" w:hAnsi="仿宋_GB2312" w:eastAsia="仿宋_GB2312" w:cs="宋体"/>
          <w:spacing w:val="8"/>
          <w:kern w:val="0"/>
          <w:sz w:val="32"/>
          <w:szCs w:val="32"/>
        </w:rPr>
        <w:t>执法机关向人民法院申请强制执行时使用的文书。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7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强制执行申请书应当写明申请人及被申请人基本情况、作出行政处罚决定情况、申请执行内容、送达情况和催告等有关情况，由执法机关负责人签名并加盖执法机关印章。</w:t>
      </w:r>
    </w:p>
    <w:p>
      <w:pPr>
        <w:keepNext w:val="0"/>
        <w:keepLines w:val="0"/>
        <w:pageBreakBefore w:val="0"/>
        <w:widowControl/>
        <w:kinsoku/>
        <w:wordWrap/>
        <w:overflowPunct/>
        <w:topLinePunct w:val="0"/>
        <w:autoSpaceDE/>
        <w:autoSpaceDN/>
        <w:bidi w:val="0"/>
        <w:adjustRightInd w:val="0"/>
        <w:snapToGrid w:val="0"/>
        <w:spacing w:line="560" w:lineRule="exact"/>
        <w:ind w:firstLine="7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五十六</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hint="eastAsia" w:ascii="仿宋_GB2312" w:hAnsi="仿宋_GB2312" w:eastAsia="仿宋_GB2312" w:cs="宋体"/>
          <w:bCs/>
          <w:spacing w:val="8"/>
          <w:kern w:val="0"/>
          <w:sz w:val="32"/>
          <w:szCs w:val="32"/>
        </w:rPr>
        <w:t>延期（分期）缴纳罚款通知书</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是当事人确有经济困难，需要延期或者分期缴纳罚款，向</w:t>
      </w:r>
      <w:r>
        <w:rPr>
          <w:rFonts w:hint="eastAsia" w:ascii="仿宋_GB2312" w:hAnsi="仿宋_GB2312" w:eastAsia="仿宋_GB2312" w:cs="宋体"/>
          <w:spacing w:val="8"/>
          <w:kern w:val="0"/>
          <w:sz w:val="32"/>
          <w:szCs w:val="32"/>
        </w:rPr>
        <w:t>农业行政执法机关</w:t>
      </w:r>
      <w:r>
        <w:rPr>
          <w:rFonts w:ascii="仿宋_GB2312" w:hAnsi="仿宋_GB2312" w:eastAsia="仿宋_GB2312" w:cs="宋体"/>
          <w:spacing w:val="8"/>
          <w:kern w:val="0"/>
          <w:sz w:val="32"/>
          <w:szCs w:val="32"/>
        </w:rPr>
        <w:t>提出书面申请后，农业行政</w:t>
      </w:r>
      <w:r>
        <w:rPr>
          <w:rFonts w:hint="eastAsia" w:ascii="仿宋_GB2312" w:hAnsi="仿宋_GB2312" w:eastAsia="仿宋_GB2312" w:cs="宋体"/>
          <w:spacing w:val="8"/>
          <w:kern w:val="0"/>
          <w:sz w:val="32"/>
          <w:szCs w:val="32"/>
        </w:rPr>
        <w:t>执法机关</w:t>
      </w:r>
      <w:r>
        <w:rPr>
          <w:rFonts w:ascii="仿宋_GB2312" w:hAnsi="仿宋_GB2312" w:eastAsia="仿宋_GB2312" w:cs="宋体"/>
          <w:spacing w:val="8"/>
          <w:kern w:val="0"/>
          <w:sz w:val="32"/>
          <w:szCs w:val="32"/>
        </w:rPr>
        <w:t>负责人</w:t>
      </w:r>
      <w:r>
        <w:rPr>
          <w:rFonts w:hint="eastAsia" w:ascii="仿宋_GB2312" w:hAnsi="仿宋_GB2312" w:eastAsia="仿宋_GB2312" w:cs="宋体"/>
          <w:spacing w:val="8"/>
          <w:kern w:val="0"/>
          <w:sz w:val="32"/>
          <w:szCs w:val="32"/>
        </w:rPr>
        <w:t>依法</w:t>
      </w:r>
      <w:r>
        <w:rPr>
          <w:rFonts w:ascii="仿宋_GB2312" w:hAnsi="仿宋_GB2312" w:eastAsia="仿宋_GB2312" w:cs="宋体"/>
          <w:spacing w:val="8"/>
          <w:kern w:val="0"/>
          <w:sz w:val="32"/>
          <w:szCs w:val="32"/>
        </w:rPr>
        <w:t>批准同意</w:t>
      </w:r>
      <w:r>
        <w:rPr>
          <w:rFonts w:hint="eastAsia" w:ascii="仿宋_GB2312" w:hAnsi="仿宋_GB2312" w:eastAsia="仿宋_GB2312" w:cs="宋体"/>
          <w:spacing w:val="8"/>
          <w:kern w:val="0"/>
          <w:sz w:val="32"/>
          <w:szCs w:val="32"/>
        </w:rPr>
        <w:t>后</w:t>
      </w:r>
      <w:r>
        <w:rPr>
          <w:rFonts w:ascii="仿宋_GB2312" w:hAnsi="仿宋_GB2312" w:eastAsia="仿宋_GB2312" w:cs="宋体"/>
          <w:spacing w:val="8"/>
          <w:kern w:val="0"/>
          <w:sz w:val="32"/>
          <w:szCs w:val="32"/>
        </w:rPr>
        <w:t>，告知当事人时使用的文书。</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延期缴纳的，应当明确延期期限；分期缴纳的，应当明确每期缴纳的金额和期限。</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五十七</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罚没物品处理记录</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是农业</w:t>
      </w:r>
      <w:r>
        <w:rPr>
          <w:rFonts w:hint="eastAsia" w:ascii="仿宋_GB2312" w:hAnsi="仿宋_GB2312" w:eastAsia="仿宋_GB2312" w:cs="宋体"/>
          <w:spacing w:val="8"/>
          <w:kern w:val="0"/>
          <w:sz w:val="32"/>
          <w:szCs w:val="32"/>
        </w:rPr>
        <w:t>行政</w:t>
      </w:r>
      <w:r>
        <w:rPr>
          <w:rFonts w:ascii="仿宋_GB2312" w:hAnsi="仿宋_GB2312" w:eastAsia="仿宋_GB2312" w:cs="宋体"/>
          <w:spacing w:val="8"/>
          <w:kern w:val="0"/>
          <w:sz w:val="32"/>
          <w:szCs w:val="32"/>
        </w:rPr>
        <w:t>执法机关对罚没物品依法进行处理</w:t>
      </w:r>
      <w:r>
        <w:rPr>
          <w:rFonts w:hint="eastAsia" w:ascii="仿宋_GB2312" w:hAnsi="仿宋_GB2312" w:eastAsia="仿宋_GB2312" w:cs="宋体"/>
          <w:spacing w:val="8"/>
          <w:kern w:val="0"/>
          <w:sz w:val="32"/>
          <w:szCs w:val="32"/>
        </w:rPr>
        <w:t>时使用的文书</w:t>
      </w:r>
      <w:r>
        <w:rPr>
          <w:rFonts w:ascii="仿宋_GB2312" w:hAnsi="仿宋_GB2312" w:eastAsia="仿宋_GB2312" w:cs="宋体"/>
          <w:spacing w:val="8"/>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处理记录应当载明对罚没物品处理的时间、地点、方式，参与处理的执法人员</w:t>
      </w:r>
      <w:r>
        <w:rPr>
          <w:rFonts w:hint="eastAsia" w:ascii="仿宋_GB2312" w:hAnsi="仿宋_GB2312" w:eastAsia="仿宋_GB2312" w:cs="宋体"/>
          <w:spacing w:val="8"/>
          <w:kern w:val="0"/>
          <w:sz w:val="32"/>
          <w:szCs w:val="32"/>
        </w:rPr>
        <w:t>及执法机构负责人</w:t>
      </w:r>
      <w:r>
        <w:rPr>
          <w:rFonts w:ascii="仿宋_GB2312" w:hAnsi="仿宋_GB2312" w:eastAsia="仿宋_GB2312" w:cs="宋体"/>
          <w:spacing w:val="8"/>
          <w:kern w:val="0"/>
          <w:sz w:val="32"/>
          <w:szCs w:val="32"/>
        </w:rPr>
        <w:t xml:space="preserve">应当在记录上签字。 </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五十八</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行政处罚结案报告</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是指案件终结后，</w:t>
      </w:r>
      <w:r>
        <w:rPr>
          <w:rFonts w:hint="eastAsia" w:ascii="仿宋_GB2312" w:hAnsi="仿宋_GB2312" w:eastAsia="仿宋_GB2312" w:cs="宋体"/>
          <w:spacing w:val="8"/>
          <w:kern w:val="0"/>
          <w:sz w:val="32"/>
          <w:szCs w:val="32"/>
        </w:rPr>
        <w:t>农业行政</w:t>
      </w:r>
      <w:r>
        <w:rPr>
          <w:rFonts w:ascii="仿宋_GB2312" w:hAnsi="仿宋_GB2312" w:eastAsia="仿宋_GB2312" w:cs="宋体"/>
          <w:spacing w:val="8"/>
          <w:kern w:val="0"/>
          <w:sz w:val="32"/>
          <w:szCs w:val="32"/>
        </w:rPr>
        <w:t>执法人员</w:t>
      </w:r>
      <w:r>
        <w:rPr>
          <w:rFonts w:hint="eastAsia" w:ascii="仿宋_GB2312" w:hAnsi="仿宋_GB2312" w:eastAsia="仿宋_GB2312" w:cs="宋体"/>
          <w:spacing w:val="8"/>
          <w:kern w:val="0"/>
          <w:sz w:val="32"/>
          <w:szCs w:val="32"/>
        </w:rPr>
        <w:t>报</w:t>
      </w:r>
      <w:r>
        <w:rPr>
          <w:rFonts w:ascii="仿宋_GB2312" w:hAnsi="仿宋_GB2312" w:eastAsia="仿宋_GB2312" w:cs="宋体"/>
          <w:spacing w:val="8"/>
          <w:kern w:val="0"/>
          <w:sz w:val="32"/>
          <w:szCs w:val="32"/>
        </w:rPr>
        <w:t>请执法机关负责人批准结案</w:t>
      </w:r>
      <w:r>
        <w:rPr>
          <w:rFonts w:hint="eastAsia" w:ascii="仿宋_GB2312" w:hAnsi="仿宋_GB2312" w:eastAsia="仿宋_GB2312" w:cs="宋体"/>
          <w:spacing w:val="8"/>
          <w:kern w:val="0"/>
          <w:sz w:val="32"/>
          <w:szCs w:val="32"/>
        </w:rPr>
        <w:t>时使用的</w:t>
      </w:r>
      <w:r>
        <w:rPr>
          <w:rFonts w:ascii="仿宋_GB2312" w:hAnsi="仿宋_GB2312" w:eastAsia="仿宋_GB2312" w:cs="宋体"/>
          <w:spacing w:val="8"/>
          <w:kern w:val="0"/>
          <w:sz w:val="32"/>
          <w:szCs w:val="32"/>
        </w:rPr>
        <w:t>文书。</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件名称按照“当事人姓名（名称）+违法行为性质+案”的方式表述。案件终止调查、违法事实不能成立、立案调查后移送其他行政管理部门和司法机关等处理决定，按照“当事人姓名（名称）+涉嫌+违法行为性质+案”的方式表述。</w:t>
      </w:r>
      <w:r>
        <w:rPr>
          <w:rFonts w:ascii="仿宋_GB2312" w:hAnsi="仿宋_GB2312" w:eastAsia="仿宋_GB2312" w:cs="宋体"/>
          <w:spacing w:val="8"/>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结案报告应当对案件的办理情况进行总结，给予行政处罚的，写明处罚决定的内容及执行</w:t>
      </w:r>
      <w:r>
        <w:rPr>
          <w:rFonts w:hint="eastAsia" w:ascii="仿宋_GB2312" w:hAnsi="仿宋_GB2312" w:eastAsia="仿宋_GB2312" w:cs="宋体"/>
          <w:spacing w:val="8"/>
          <w:kern w:val="0"/>
          <w:sz w:val="32"/>
          <w:szCs w:val="32"/>
        </w:rPr>
        <w:t>方式</w:t>
      </w:r>
      <w:r>
        <w:rPr>
          <w:rFonts w:ascii="仿宋_GB2312" w:hAnsi="仿宋_GB2312" w:eastAsia="仿宋_GB2312" w:cs="宋体"/>
          <w:spacing w:val="8"/>
          <w:kern w:val="0"/>
          <w:sz w:val="32"/>
          <w:szCs w:val="32"/>
        </w:rPr>
        <w:t xml:space="preserve">；不予行政处罚的应当写明理由；予以撤销案件的，写明撤销的理由。 </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案件终止调查或者违法事实不能成立的，不需填写“处理决定文书”栏。</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黑体" w:hAnsi="黑体" w:eastAsia="黑体" w:cs="宋体"/>
          <w:bCs/>
          <w:spacing w:val="8"/>
          <w:kern w:val="0"/>
          <w:sz w:val="32"/>
          <w:szCs w:val="32"/>
        </w:rPr>
      </w:pPr>
      <w:r>
        <w:rPr>
          <w:rFonts w:hint="eastAsia" w:ascii="仿宋_GB2312" w:hAnsi="仿宋_GB2312" w:eastAsia="仿宋_GB2312" w:cs="宋体"/>
          <w:spacing w:val="8"/>
          <w:kern w:val="0"/>
          <w:sz w:val="32"/>
          <w:szCs w:val="32"/>
        </w:rPr>
        <w:t>罚没财物处置情况应当写明罚没物品的处置时间、方式及结果。</w:t>
      </w:r>
      <w:bookmarkStart w:id="6" w:name="6"/>
      <w:bookmarkEnd w:id="6"/>
      <w:bookmarkStart w:id="7" w:name="sub4719915_6"/>
      <w:bookmarkEnd w:id="7"/>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1"/>
        <w:rPr>
          <w:rFonts w:ascii="黑体" w:hAnsi="黑体" w:eastAsia="黑体" w:cs="宋体"/>
          <w:bCs/>
          <w:spacing w:val="8"/>
          <w:kern w:val="0"/>
          <w:sz w:val="32"/>
          <w:szCs w:val="32"/>
        </w:rPr>
      </w:pPr>
      <w:r>
        <w:rPr>
          <w:rFonts w:ascii="黑体" w:hAnsi="黑体" w:eastAsia="黑体" w:cs="宋体"/>
          <w:bCs/>
          <w:spacing w:val="8"/>
          <w:kern w:val="0"/>
          <w:sz w:val="32"/>
          <w:szCs w:val="32"/>
        </w:rPr>
        <w:t>第四章 文书归档及管理</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五十九</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农业行政执法机关应当严格按照</w:t>
      </w:r>
      <w:r>
        <w:rPr>
          <w:rFonts w:hint="eastAsia" w:ascii="仿宋_GB2312" w:eastAsia="仿宋_GB2312"/>
          <w:sz w:val="32"/>
          <w:szCs w:val="32"/>
        </w:rPr>
        <w:t>《中华人民共和国行政处罚法》《中华人民共和国档案法》《农业行政处罚程序规定》《机关文件材料归档范围和文书档案保管期限规定》</w:t>
      </w:r>
      <w:r>
        <w:rPr>
          <w:rFonts w:hint="eastAsia" w:ascii="仿宋_GB2312" w:hAnsi="仿宋_GB2312" w:eastAsia="仿宋_GB2312" w:cs="宋体"/>
          <w:spacing w:val="8"/>
          <w:kern w:val="0"/>
          <w:sz w:val="32"/>
          <w:szCs w:val="32"/>
        </w:rPr>
        <w:t>和本规范的要求，做好立卷归档工作。</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立卷归档，是指农业行政执法机关对行政处罚等行政执法活动中形成的、能反映案件</w:t>
      </w:r>
      <w:r>
        <w:rPr>
          <w:rFonts w:hint="eastAsia" w:ascii="仿宋_GB2312" w:eastAsia="仿宋_GB2312"/>
          <w:sz w:val="32"/>
          <w:szCs w:val="32"/>
        </w:rPr>
        <w:t>真实情况、有保存价值的各种文字、图标、声像、证物等，按照行政执法的客观进程形成文书时间的自然顺序进行收集、整理的过程</w:t>
      </w:r>
      <w:r>
        <w:rPr>
          <w:rFonts w:hint="eastAsia" w:ascii="仿宋_GB2312" w:hAnsi="仿宋_GB2312" w:eastAsia="仿宋_GB2312" w:cs="宋体"/>
          <w:spacing w:val="8"/>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六十</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农业行政执法机关各类文书，应当按照利于保密、方便利用的原则，分别立为正卷和副卷。</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一</w:t>
      </w:r>
      <w:r>
        <w:rPr>
          <w:rFonts w:ascii="仿宋_GB2312" w:hAnsi="仿宋_GB2312" w:eastAsia="仿宋_GB2312" w:cs="宋体"/>
          <w:spacing w:val="8"/>
          <w:kern w:val="0"/>
          <w:sz w:val="32"/>
          <w:szCs w:val="32"/>
        </w:rPr>
        <w:t>般程序案件应当</w:t>
      </w:r>
      <w:r>
        <w:rPr>
          <w:rFonts w:hint="eastAsia" w:ascii="仿宋_GB2312" w:hAnsi="仿宋_GB2312" w:eastAsia="仿宋_GB2312" w:cs="宋体"/>
          <w:spacing w:val="8"/>
          <w:kern w:val="0"/>
          <w:sz w:val="32"/>
          <w:szCs w:val="32"/>
        </w:rPr>
        <w:t>按年度、一案一号的原则，单独立卷。简易</w:t>
      </w:r>
      <w:r>
        <w:rPr>
          <w:rFonts w:ascii="仿宋_GB2312" w:hAnsi="仿宋_GB2312" w:eastAsia="仿宋_GB2312" w:cs="宋体"/>
          <w:spacing w:val="8"/>
          <w:kern w:val="0"/>
          <w:sz w:val="32"/>
          <w:szCs w:val="32"/>
        </w:rPr>
        <w:t>程序案件可以多案合并组卷</w:t>
      </w:r>
      <w:r>
        <w:rPr>
          <w:rFonts w:hint="eastAsia" w:ascii="仿宋_GB2312" w:hAnsi="仿宋_GB2312" w:eastAsia="仿宋_GB2312" w:cs="宋体"/>
          <w:spacing w:val="8"/>
          <w:kern w:val="0"/>
          <w:sz w:val="32"/>
          <w:szCs w:val="32"/>
        </w:rPr>
        <w:t>，</w:t>
      </w:r>
      <w:r>
        <w:rPr>
          <w:rFonts w:hint="eastAsia" w:ascii="仿宋_GB2312" w:eastAsia="仿宋_GB2312"/>
          <w:sz w:val="32"/>
          <w:szCs w:val="32"/>
        </w:rPr>
        <w:t>每卷不超过50个案件</w:t>
      </w:r>
      <w:r>
        <w:rPr>
          <w:rFonts w:ascii="仿宋_GB2312" w:hAnsi="仿宋_GB2312" w:eastAsia="仿宋_GB2312" w:cs="宋体"/>
          <w:spacing w:val="8"/>
          <w:kern w:val="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案卷归档一般包括材料整理，排序编号，填写卷宗封面、卷内目录、卷内备考表和装订入盒等步骤。</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六十一</w:t>
      </w:r>
      <w:r>
        <w:rPr>
          <w:rFonts w:ascii="黑体" w:hAnsi="黑体" w:eastAsia="黑体" w:cs="宋体"/>
          <w:spacing w:val="8"/>
          <w:kern w:val="0"/>
          <w:sz w:val="32"/>
          <w:szCs w:val="32"/>
        </w:rPr>
        <w:t>条</w:t>
      </w:r>
      <w:r>
        <w:rPr>
          <w:rFonts w:ascii="仿宋_GB2312" w:hAnsi="仿宋_GB2312" w:eastAsia="仿宋_GB2312" w:cs="宋体"/>
          <w:spacing w:val="8"/>
          <w:kern w:val="0"/>
          <w:sz w:val="32"/>
          <w:szCs w:val="32"/>
        </w:rPr>
        <w:t xml:space="preserve"> </w:t>
      </w:r>
      <w:r>
        <w:rPr>
          <w:rFonts w:hint="eastAsia" w:ascii="仿宋_GB2312" w:hAnsi="仿宋_GB2312" w:eastAsia="仿宋_GB2312" w:cs="宋体"/>
          <w:spacing w:val="8"/>
          <w:kern w:val="0"/>
          <w:sz w:val="32"/>
          <w:szCs w:val="32"/>
        </w:rPr>
        <w:t>行政处罚简易程序案件归档材料包括：</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（一）当场处罚决定书；</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（二）罚款收据；</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（三）其他文件材料。</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黑体" w:hAnsi="黑体" w:eastAsia="黑体"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六十二</w:t>
      </w:r>
      <w:r>
        <w:rPr>
          <w:rFonts w:ascii="黑体" w:hAnsi="黑体" w:eastAsia="黑体" w:cs="宋体"/>
          <w:spacing w:val="8"/>
          <w:kern w:val="0"/>
          <w:sz w:val="32"/>
          <w:szCs w:val="32"/>
        </w:rPr>
        <w:t>条</w:t>
      </w:r>
      <w:r>
        <w:rPr>
          <w:rFonts w:hint="eastAsia" w:ascii="黑体" w:hAnsi="黑体" w:eastAsia="黑体" w:cs="宋体"/>
          <w:spacing w:val="8"/>
          <w:kern w:val="0"/>
          <w:sz w:val="32"/>
          <w:szCs w:val="32"/>
        </w:rPr>
        <w:t xml:space="preserve"> </w:t>
      </w:r>
      <w:r>
        <w:rPr>
          <w:rFonts w:hint="eastAsia" w:ascii="仿宋_GB2312" w:hAnsi="仿宋_GB2312" w:eastAsia="仿宋_GB2312" w:cs="宋体"/>
          <w:spacing w:val="8"/>
          <w:kern w:val="0"/>
          <w:sz w:val="32"/>
          <w:szCs w:val="32"/>
        </w:rPr>
        <w:t>行政处罚一般程序案件归档材料包括：</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（一）立案材料，包括投诉信函、投诉受理记录、案件移送函、立案审批表等；</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color w:val="000000" w:themeColor="text1"/>
          <w:spacing w:val="8"/>
          <w:kern w:val="0"/>
          <w:sz w:val="32"/>
          <w:szCs w:val="32"/>
        </w:rPr>
      </w:pPr>
      <w:r>
        <w:rPr>
          <w:rFonts w:hint="eastAsia" w:ascii="仿宋_GB2312" w:hAnsi="仿宋_GB2312" w:eastAsia="仿宋_GB2312" w:cs="宋体"/>
          <w:color w:val="000000" w:themeColor="text1"/>
          <w:spacing w:val="8"/>
          <w:kern w:val="0"/>
          <w:sz w:val="32"/>
          <w:szCs w:val="32"/>
        </w:rPr>
        <w:t>（二）调查取证材料；</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（三）审查决定材料，包括案件调查终结审批表、行政处罚事先（听证）告知书、陈述申辩笔录、听证笔录、重大行政处罚决定集体讨论记录、行政处罚决定书等；</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（四）处罚执行材料，包括罚款收据、执行情况记录、行政决定履行催告书、强制执行决定书、结案审批表等。</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当事人提起行政复议或者行政诉讼形成的文件材料，可以合并入原案卷保管，或者另行立卷保管。</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六十三</w:t>
      </w:r>
      <w:r>
        <w:rPr>
          <w:rFonts w:ascii="黑体" w:hAnsi="黑体" w:eastAsia="黑体" w:cs="宋体"/>
          <w:spacing w:val="8"/>
          <w:kern w:val="0"/>
          <w:sz w:val="32"/>
          <w:szCs w:val="32"/>
        </w:rPr>
        <w:t>条</w:t>
      </w:r>
      <w:r>
        <w:rPr>
          <w:rFonts w:hint="eastAsia" w:ascii="仿宋_GB2312" w:hAnsi="仿宋_GB2312" w:eastAsia="仿宋_GB2312" w:cs="宋体"/>
          <w:spacing w:val="8"/>
          <w:kern w:val="0"/>
          <w:sz w:val="32"/>
          <w:szCs w:val="32"/>
        </w:rPr>
        <w:t xml:space="preserve"> 案件结案后，立卷人应当及时将案件处理过程中形成的各种文书和材料进行收集整理。材料整理应当符合下列规定：</w:t>
      </w:r>
    </w:p>
    <w:p>
      <w:pPr>
        <w:keepNext w:val="0"/>
        <w:keepLines w:val="0"/>
        <w:pageBreakBefore w:val="0"/>
        <w:widowControl/>
        <w:kinsoku/>
        <w:wordWrap/>
        <w:overflowPunct/>
        <w:topLinePunct w:val="0"/>
        <w:autoSpaceDE/>
        <w:autoSpaceDN/>
        <w:bidi w:val="0"/>
        <w:adjustRightInd w:val="0"/>
        <w:snapToGrid w:val="0"/>
        <w:spacing w:line="560" w:lineRule="exact"/>
        <w:ind w:firstLine="5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（一）能够采用原件的材料应当采用原件，不得以复印件代替原件存档；</w:t>
      </w:r>
    </w:p>
    <w:p>
      <w:pPr>
        <w:keepNext w:val="0"/>
        <w:keepLines w:val="0"/>
        <w:pageBreakBefore w:val="0"/>
        <w:widowControl/>
        <w:kinsoku/>
        <w:wordWrap/>
        <w:overflowPunct/>
        <w:topLinePunct w:val="0"/>
        <w:autoSpaceDE/>
        <w:autoSpaceDN/>
        <w:bidi w:val="0"/>
        <w:adjustRightInd w:val="0"/>
        <w:snapToGrid w:val="0"/>
        <w:spacing w:line="560" w:lineRule="exact"/>
        <w:ind w:firstLine="5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（二）整理时应当拆除文件上的金属物，超大纸张应当折叠成A4纸大小，已破损的文件应当修整，字迹模糊或者易褪色的文件、热敏传真纸文件应当复制；</w:t>
      </w:r>
    </w:p>
    <w:p>
      <w:pPr>
        <w:keepNext w:val="0"/>
        <w:keepLines w:val="0"/>
        <w:pageBreakBefore w:val="0"/>
        <w:widowControl/>
        <w:kinsoku/>
        <w:wordWrap/>
        <w:overflowPunct/>
        <w:topLinePunct w:val="0"/>
        <w:autoSpaceDE/>
        <w:autoSpaceDN/>
        <w:bidi w:val="0"/>
        <w:adjustRightInd w:val="0"/>
        <w:snapToGrid w:val="0"/>
        <w:spacing w:line="560" w:lineRule="exact"/>
        <w:ind w:firstLine="5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 xml:space="preserve">（三）横印文件材料应当字头朝装订线摆放； </w:t>
      </w:r>
    </w:p>
    <w:p>
      <w:pPr>
        <w:keepNext w:val="0"/>
        <w:keepLines w:val="0"/>
        <w:pageBreakBefore w:val="0"/>
        <w:widowControl/>
        <w:kinsoku/>
        <w:wordWrap/>
        <w:overflowPunct/>
        <w:topLinePunct w:val="0"/>
        <w:autoSpaceDE/>
        <w:autoSpaceDN/>
        <w:bidi w:val="0"/>
        <w:adjustRightInd w:val="0"/>
        <w:snapToGrid w:val="0"/>
        <w:spacing w:line="560" w:lineRule="exact"/>
        <w:ind w:firstLine="5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（四）文件材料装订部分过窄或</w:t>
      </w:r>
      <w:r>
        <w:rPr>
          <w:rFonts w:hint="eastAsia" w:ascii="仿宋_GB2312" w:hAnsi="仿宋_GB2312" w:eastAsia="仿宋_GB2312" w:cs="宋体"/>
          <w:spacing w:val="8"/>
          <w:kern w:val="0"/>
          <w:sz w:val="32"/>
          <w:szCs w:val="32"/>
          <w:lang w:eastAsia="zh-CN"/>
        </w:rPr>
        <w:t>者</w:t>
      </w:r>
      <w:r>
        <w:rPr>
          <w:rFonts w:hint="eastAsia" w:ascii="仿宋_GB2312" w:hAnsi="仿宋_GB2312" w:eastAsia="仿宋_GB2312" w:cs="宋体"/>
          <w:spacing w:val="8"/>
          <w:kern w:val="0"/>
          <w:sz w:val="32"/>
          <w:szCs w:val="32"/>
        </w:rPr>
        <w:t>有字的，用纸加宽装订，纸张小于卷面的用A4纸进行托裱；</w:t>
      </w:r>
    </w:p>
    <w:p>
      <w:pPr>
        <w:keepNext w:val="0"/>
        <w:keepLines w:val="0"/>
        <w:pageBreakBefore w:val="0"/>
        <w:widowControl/>
        <w:kinsoku/>
        <w:wordWrap/>
        <w:overflowPunct/>
        <w:topLinePunct w:val="0"/>
        <w:autoSpaceDE/>
        <w:autoSpaceDN/>
        <w:bidi w:val="0"/>
        <w:adjustRightInd w:val="0"/>
        <w:snapToGrid w:val="0"/>
        <w:spacing w:line="560" w:lineRule="exact"/>
        <w:ind w:firstLine="5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（五）需要附卷保存的信封，应当打开展平后加贴衬纸或者复制留存，邮票不得撕揭；</w:t>
      </w:r>
      <w:r>
        <w:rPr>
          <w:rFonts w:ascii="仿宋_GB2312" w:hAnsi="仿宋_GB2312" w:eastAsia="仿宋_GB2312" w:cs="宋体"/>
          <w:spacing w:val="8"/>
          <w:kern w:val="0"/>
          <w:sz w:val="32"/>
          <w:szCs w:val="32"/>
        </w:rPr>
        <w:t>卷内文书材料应当齐全完整，无重份或</w:t>
      </w:r>
      <w:r>
        <w:rPr>
          <w:rFonts w:hint="eastAsia" w:ascii="仿宋_GB2312" w:hAnsi="仿宋_GB2312" w:eastAsia="仿宋_GB2312" w:cs="宋体"/>
          <w:spacing w:val="8"/>
          <w:kern w:val="0"/>
          <w:sz w:val="32"/>
          <w:szCs w:val="32"/>
        </w:rPr>
        <w:t>者</w:t>
      </w:r>
      <w:r>
        <w:rPr>
          <w:rFonts w:ascii="仿宋_GB2312" w:hAnsi="仿宋_GB2312" w:eastAsia="仿宋_GB2312" w:cs="宋体"/>
          <w:spacing w:val="8"/>
          <w:kern w:val="0"/>
          <w:sz w:val="32"/>
          <w:szCs w:val="32"/>
        </w:rPr>
        <w:t xml:space="preserve">多余材料。 </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Calibri" w:eastAsia="仿宋_GB2312"/>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六十</w:t>
      </w:r>
      <w:r>
        <w:rPr>
          <w:rFonts w:hint="eastAsia" w:ascii="黑体" w:hAnsi="黑体" w:eastAsia="黑体"/>
          <w:spacing w:val="8"/>
          <w:sz w:val="32"/>
          <w:szCs w:val="32"/>
        </w:rPr>
        <w:t>四</w:t>
      </w:r>
      <w:r>
        <w:rPr>
          <w:rFonts w:hint="eastAsia" w:ascii="黑体" w:hAnsi="黑体" w:eastAsia="黑体" w:cs="宋体"/>
          <w:spacing w:val="8"/>
          <w:kern w:val="0"/>
          <w:sz w:val="32"/>
          <w:szCs w:val="32"/>
        </w:rPr>
        <w:t>条</w:t>
      </w:r>
      <w:r>
        <w:rPr>
          <w:rFonts w:hint="eastAsia" w:ascii="黑体" w:hAnsi="黑体" w:eastAsia="黑体"/>
          <w:spacing w:val="8"/>
          <w:sz w:val="32"/>
          <w:szCs w:val="32"/>
        </w:rPr>
        <w:t xml:space="preserve"> </w:t>
      </w:r>
      <w:r>
        <w:rPr>
          <w:rFonts w:hint="eastAsia" w:ascii="仿宋_GB2312" w:hAnsi="Calibri" w:eastAsia="仿宋_GB2312"/>
          <w:sz w:val="32"/>
          <w:szCs w:val="32"/>
        </w:rPr>
        <w:t>案件材料整理后，按照下列规定进行排序编号：</w:t>
      </w:r>
    </w:p>
    <w:p>
      <w:pPr>
        <w:keepNext w:val="0"/>
        <w:keepLines w:val="0"/>
        <w:pageBreakBefore w:val="0"/>
        <w:widowControl/>
        <w:kinsoku/>
        <w:wordWrap/>
        <w:overflowPunct/>
        <w:topLinePunct w:val="0"/>
        <w:autoSpaceDE/>
        <w:autoSpaceDN/>
        <w:bidi w:val="0"/>
        <w:adjustRightInd w:val="0"/>
        <w:snapToGrid w:val="0"/>
        <w:spacing w:line="560" w:lineRule="exact"/>
        <w:ind w:firstLine="500"/>
        <w:textAlignment w:val="auto"/>
        <w:rPr>
          <w:rFonts w:ascii="仿宋_GB2312" w:hAnsi="Calibri" w:eastAsia="仿宋_GB2312"/>
          <w:sz w:val="32"/>
          <w:szCs w:val="32"/>
        </w:rPr>
      </w:pPr>
      <w:r>
        <w:rPr>
          <w:rFonts w:hint="eastAsia" w:ascii="仿宋_GB2312" w:hAnsi="Calibri" w:eastAsia="仿宋_GB2312"/>
          <w:sz w:val="32"/>
          <w:szCs w:val="32"/>
        </w:rPr>
        <w:t>（一）简易程序案卷同一案件按当场处罚决定书、罚款收据（现场收缴的将收据号码登记在行政处罚决定书上）、其他文件材料的顺序排列，不同案件按结案时间先后顺序排列；</w:t>
      </w:r>
    </w:p>
    <w:p>
      <w:pPr>
        <w:keepNext w:val="0"/>
        <w:keepLines w:val="0"/>
        <w:pageBreakBefore w:val="0"/>
        <w:widowControl/>
        <w:kinsoku/>
        <w:wordWrap/>
        <w:overflowPunct/>
        <w:topLinePunct w:val="0"/>
        <w:autoSpaceDE/>
        <w:autoSpaceDN/>
        <w:bidi w:val="0"/>
        <w:adjustRightInd w:val="0"/>
        <w:snapToGrid w:val="0"/>
        <w:spacing w:line="560" w:lineRule="exact"/>
        <w:ind w:firstLine="500"/>
        <w:textAlignment w:val="auto"/>
        <w:rPr>
          <w:rFonts w:ascii="仿宋_GB2312" w:hAnsi="Calibri" w:eastAsia="仿宋_GB2312"/>
          <w:sz w:val="32"/>
          <w:szCs w:val="32"/>
        </w:rPr>
      </w:pPr>
      <w:r>
        <w:rPr>
          <w:rFonts w:hint="eastAsia" w:ascii="仿宋_GB2312" w:hAnsi="Calibri" w:eastAsia="仿宋_GB2312"/>
          <w:sz w:val="32"/>
          <w:szCs w:val="32"/>
        </w:rPr>
        <w:t>（二）一般程序案卷按照执法办案流程的时间先后顺序排列（档案管理部门另有规定的从其规定）；</w:t>
      </w:r>
    </w:p>
    <w:p>
      <w:pPr>
        <w:keepNext w:val="0"/>
        <w:keepLines w:val="0"/>
        <w:pageBreakBefore w:val="0"/>
        <w:widowControl/>
        <w:kinsoku/>
        <w:wordWrap/>
        <w:overflowPunct/>
        <w:topLinePunct w:val="0"/>
        <w:autoSpaceDE/>
        <w:autoSpaceDN/>
        <w:bidi w:val="0"/>
        <w:adjustRightInd w:val="0"/>
        <w:snapToGrid w:val="0"/>
        <w:spacing w:line="560" w:lineRule="exact"/>
        <w:ind w:firstLine="500"/>
        <w:textAlignment w:val="auto"/>
        <w:rPr>
          <w:rFonts w:ascii="仿宋_GB2312" w:hAnsi="Calibri" w:eastAsia="仿宋_GB2312"/>
          <w:sz w:val="32"/>
          <w:szCs w:val="32"/>
        </w:rPr>
      </w:pPr>
      <w:r>
        <w:rPr>
          <w:rFonts w:hint="eastAsia" w:ascii="仿宋_GB2312" w:hAnsi="Calibri" w:eastAsia="仿宋_GB2312"/>
          <w:sz w:val="32"/>
          <w:szCs w:val="32"/>
        </w:rPr>
        <w:t>（三）卷内文件材料用号码机以阿拉伯数字依次编号。正面编号在文件的右上角，背面编号在文件的左上角，背面无信息内容的不编号。</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六十五条</w:t>
      </w:r>
      <w:r>
        <w:rPr>
          <w:rFonts w:hint="eastAsia" w:ascii="仿宋_GB2312" w:hAnsi="仿宋_GB2312" w:eastAsia="仿宋_GB2312" w:cs="宋体"/>
          <w:spacing w:val="8"/>
          <w:kern w:val="0"/>
          <w:sz w:val="32"/>
          <w:szCs w:val="32"/>
        </w:rPr>
        <w:t xml:space="preserve"> 农业行政执法案卷由卷宗封面、卷内目录、卷内文件材料、卷内备考表、封底组成。</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卷宗封面包括立卷单位、案号、案件名称、年度、页数、保管期限。</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卷内目录包括序号、文号、文件材料名称、页号、备注。</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卷内备考表包括本卷情况说明、立卷人、检查人、立卷时间。</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 xml:space="preserve">六十六条 </w:t>
      </w:r>
      <w:r>
        <w:rPr>
          <w:rFonts w:hint="eastAsia" w:ascii="仿宋_GB2312" w:hAnsi="仿宋_GB2312" w:eastAsia="仿宋_GB2312" w:cs="宋体"/>
          <w:spacing w:val="8"/>
          <w:kern w:val="0"/>
          <w:sz w:val="32"/>
          <w:szCs w:val="32"/>
        </w:rPr>
        <w:t>案卷装订入盒时应当符合下列要求：</w:t>
      </w:r>
    </w:p>
    <w:p>
      <w:pPr>
        <w:keepNext w:val="0"/>
        <w:keepLines w:val="0"/>
        <w:pageBreakBefore w:val="0"/>
        <w:widowControl/>
        <w:kinsoku/>
        <w:wordWrap/>
        <w:overflowPunct/>
        <w:topLinePunct w:val="0"/>
        <w:autoSpaceDE/>
        <w:autoSpaceDN/>
        <w:bidi w:val="0"/>
        <w:adjustRightInd w:val="0"/>
        <w:snapToGrid w:val="0"/>
        <w:spacing w:line="560" w:lineRule="exact"/>
        <w:ind w:firstLine="5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（一）装订时左边和下边取齐，采用三孔一线的方法在左边装订，装订要牢固、整齐，不压字迹，便于翻阅；</w:t>
      </w:r>
    </w:p>
    <w:p>
      <w:pPr>
        <w:keepNext w:val="0"/>
        <w:keepLines w:val="0"/>
        <w:pageBreakBefore w:val="0"/>
        <w:widowControl/>
        <w:kinsoku/>
        <w:wordWrap/>
        <w:overflowPunct/>
        <w:topLinePunct w:val="0"/>
        <w:autoSpaceDE/>
        <w:autoSpaceDN/>
        <w:bidi w:val="0"/>
        <w:adjustRightInd w:val="0"/>
        <w:snapToGrid w:val="0"/>
        <w:spacing w:line="560" w:lineRule="exact"/>
        <w:ind w:firstLine="5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（二）案卷背面装订线处用封条封装，并加盖单位公章；</w:t>
      </w:r>
    </w:p>
    <w:p>
      <w:pPr>
        <w:keepNext w:val="0"/>
        <w:keepLines w:val="0"/>
        <w:pageBreakBefore w:val="0"/>
        <w:widowControl/>
        <w:kinsoku/>
        <w:wordWrap/>
        <w:overflowPunct/>
        <w:topLinePunct w:val="0"/>
        <w:autoSpaceDE/>
        <w:autoSpaceDN/>
        <w:bidi w:val="0"/>
        <w:adjustRightInd w:val="0"/>
        <w:snapToGrid w:val="0"/>
        <w:spacing w:line="560" w:lineRule="exact"/>
        <w:ind w:firstLine="5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（三）将案卷置于规格统一的卷盒中，并在卷盒盒脊填写所存案卷的年份、保管期限、起止卷号。</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 xml:space="preserve">六十七条 </w:t>
      </w:r>
      <w:r>
        <w:rPr>
          <w:rFonts w:hint="eastAsia" w:ascii="仿宋_GB2312" w:hAnsi="仿宋_GB2312" w:eastAsia="仿宋_GB2312" w:cs="宋体"/>
          <w:spacing w:val="8"/>
          <w:kern w:val="0"/>
          <w:sz w:val="32"/>
          <w:szCs w:val="32"/>
        </w:rPr>
        <w:t>对于难以入卷保存的物证、视听资料、电子数据等证据材料，可以拍摄、冲洗或者打印后入卷，相关证据材料装入证据袋另行保存，并在卷内备考表注明。</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 xml:space="preserve">六十八条 </w:t>
      </w:r>
      <w:r>
        <w:rPr>
          <w:rFonts w:hint="eastAsia" w:ascii="仿宋_GB2312" w:hAnsi="仿宋_GB2312" w:eastAsia="仿宋_GB2312" w:cs="宋体"/>
          <w:spacing w:val="8"/>
          <w:kern w:val="0"/>
          <w:sz w:val="32"/>
          <w:szCs w:val="32"/>
        </w:rPr>
        <w:t>简易程序案卷保管</w:t>
      </w:r>
      <w:r>
        <w:rPr>
          <w:rFonts w:ascii="仿宋_GB2312" w:hAnsi="仿宋_GB2312" w:eastAsia="仿宋_GB2312" w:cs="宋体"/>
          <w:spacing w:val="8"/>
          <w:kern w:val="0"/>
          <w:sz w:val="32"/>
          <w:szCs w:val="32"/>
        </w:rPr>
        <w:t>期限为</w:t>
      </w:r>
      <w:r>
        <w:rPr>
          <w:rFonts w:hint="eastAsia" w:ascii="仿宋_GB2312" w:hAnsi="仿宋_GB2312" w:eastAsia="仿宋_GB2312" w:cs="宋体"/>
          <w:spacing w:val="8"/>
          <w:kern w:val="0"/>
          <w:sz w:val="32"/>
          <w:szCs w:val="32"/>
        </w:rPr>
        <w:t>10</w:t>
      </w:r>
      <w:r>
        <w:rPr>
          <w:rFonts w:ascii="仿宋_GB2312" w:hAnsi="仿宋_GB2312" w:eastAsia="仿宋_GB2312" w:cs="宋体"/>
          <w:spacing w:val="8"/>
          <w:kern w:val="0"/>
          <w:sz w:val="32"/>
          <w:szCs w:val="32"/>
        </w:rPr>
        <w:t>年</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一般程序案卷保管期限为30年</w:t>
      </w:r>
      <w:r>
        <w:rPr>
          <w:rFonts w:hint="eastAsia" w:ascii="仿宋_GB2312" w:hAnsi="仿宋_GB2312" w:eastAsia="仿宋_GB2312" w:cs="宋体"/>
          <w:spacing w:val="8"/>
          <w:kern w:val="0"/>
          <w:sz w:val="32"/>
          <w:szCs w:val="32"/>
        </w:rPr>
        <w:t>。</w:t>
      </w:r>
      <w:r>
        <w:rPr>
          <w:rFonts w:ascii="仿宋_GB2312" w:hAnsi="仿宋_GB2312" w:eastAsia="仿宋_GB2312" w:cs="宋体"/>
          <w:spacing w:val="8"/>
          <w:kern w:val="0"/>
          <w:sz w:val="32"/>
          <w:szCs w:val="32"/>
        </w:rPr>
        <w:t>案件涉及行政复议、行政诉讼的，保管期限为永久。</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hint="eastAsia" w:ascii="仿宋_GB2312" w:hAnsi="仿宋_GB2312" w:eastAsia="仿宋_GB2312" w:cs="宋体"/>
          <w:spacing w:val="8"/>
          <w:kern w:val="0"/>
          <w:sz w:val="32"/>
          <w:szCs w:val="32"/>
        </w:rPr>
        <w:t>保管期限从案卷装订成册次年1月1日起计算。</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 xml:space="preserve">六十九条 </w:t>
      </w:r>
      <w:r>
        <w:rPr>
          <w:rFonts w:hint="eastAsia" w:ascii="仿宋_GB2312" w:eastAsia="仿宋_GB2312"/>
          <w:sz w:val="32"/>
          <w:szCs w:val="32"/>
        </w:rPr>
        <w:t>农业行政执法案卷应当于次年一季度前移交本单位档案管理机构集中统一管理。</w:t>
      </w:r>
    </w:p>
    <w:p>
      <w:pPr>
        <w:keepNext w:val="0"/>
        <w:keepLines w:val="0"/>
        <w:pageBreakBefore w:val="0"/>
        <w:widowControl/>
        <w:kinsoku/>
        <w:wordWrap/>
        <w:overflowPunct/>
        <w:topLinePunct w:val="0"/>
        <w:autoSpaceDE/>
        <w:autoSpaceDN/>
        <w:bidi w:val="0"/>
        <w:adjustRightInd w:val="0"/>
        <w:snapToGrid w:val="0"/>
        <w:spacing w:line="560" w:lineRule="exact"/>
        <w:ind w:firstLine="672" w:firstLineChars="200"/>
        <w:textAlignment w:val="auto"/>
        <w:rPr>
          <w:rFonts w:ascii="仿宋_GB2312" w:hAnsi="仿宋_GB2312" w:eastAsia="仿宋_GB2312" w:cs="宋体"/>
          <w:spacing w:val="8"/>
          <w:kern w:val="0"/>
          <w:sz w:val="32"/>
          <w:szCs w:val="32"/>
        </w:rPr>
      </w:pPr>
      <w:r>
        <w:rPr>
          <w:rFonts w:ascii="仿宋_GB2312" w:hAnsi="仿宋_GB2312" w:eastAsia="仿宋_GB2312" w:cs="宋体"/>
          <w:spacing w:val="8"/>
          <w:kern w:val="0"/>
          <w:sz w:val="32"/>
          <w:szCs w:val="32"/>
        </w:rPr>
        <w:t xml:space="preserve">案卷归档，不得私自增加或者抽取案卷材料，不得修改案卷内容。 </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黑体" w:hAnsi="黑体" w:eastAsia="黑体" w:cs="宋体"/>
          <w:spacing w:val="8"/>
          <w:kern w:val="0"/>
          <w:sz w:val="32"/>
          <w:szCs w:val="32"/>
        </w:rPr>
      </w:pPr>
      <w:r>
        <w:rPr>
          <w:rFonts w:hint="eastAsia" w:ascii="黑体" w:hAnsi="黑体" w:eastAsia="黑体" w:cs="宋体"/>
          <w:spacing w:val="8"/>
          <w:kern w:val="0"/>
          <w:sz w:val="32"/>
          <w:szCs w:val="32"/>
        </w:rPr>
        <w:t>第五章</w:t>
      </w:r>
      <w:r>
        <w:rPr>
          <w:rFonts w:ascii="黑体" w:hAnsi="黑体" w:eastAsia="黑体" w:cs="宋体"/>
          <w:spacing w:val="8"/>
          <w:kern w:val="0"/>
          <w:sz w:val="32"/>
          <w:szCs w:val="32"/>
        </w:rPr>
        <w:t xml:space="preserve"> </w:t>
      </w:r>
      <w:r>
        <w:rPr>
          <w:rFonts w:hint="eastAsia" w:ascii="黑体" w:hAnsi="黑体" w:eastAsia="黑体" w:cs="宋体"/>
          <w:spacing w:val="8"/>
          <w:kern w:val="0"/>
          <w:sz w:val="32"/>
          <w:szCs w:val="32"/>
        </w:rPr>
        <w:t>附则</w:t>
      </w:r>
    </w:p>
    <w:p>
      <w:pPr>
        <w:keepNext w:val="0"/>
        <w:keepLines w:val="0"/>
        <w:pageBreakBefore w:val="0"/>
        <w:widowControl/>
        <w:kinsoku/>
        <w:wordWrap/>
        <w:overflowPunct/>
        <w:topLinePunct w:val="0"/>
        <w:autoSpaceDE/>
        <w:autoSpaceDN/>
        <w:bidi w:val="0"/>
        <w:adjustRightInd w:val="0"/>
        <w:snapToGrid w:val="0"/>
        <w:spacing w:line="560" w:lineRule="exact"/>
        <w:ind w:firstLine="680"/>
        <w:textAlignment w:val="auto"/>
        <w:rPr>
          <w:rFonts w:ascii="黑体" w:hAnsi="黑体" w:eastAsia="黑体" w:cs="黑体"/>
          <w:bCs/>
          <w:color w:val="FF0000"/>
          <w:sz w:val="32"/>
          <w:szCs w:val="32"/>
        </w:rPr>
      </w:pPr>
      <w:r>
        <w:rPr>
          <w:rFonts w:ascii="黑体" w:hAnsi="黑体" w:eastAsia="黑体" w:cs="宋体"/>
          <w:spacing w:val="8"/>
          <w:kern w:val="0"/>
          <w:sz w:val="32"/>
          <w:szCs w:val="32"/>
        </w:rPr>
        <w:t>第</w:t>
      </w:r>
      <w:r>
        <w:rPr>
          <w:rFonts w:hint="eastAsia" w:ascii="黑体" w:hAnsi="黑体" w:eastAsia="黑体" w:cs="宋体"/>
          <w:spacing w:val="8"/>
          <w:kern w:val="0"/>
          <w:sz w:val="32"/>
          <w:szCs w:val="32"/>
        </w:rPr>
        <w:t>七十条</w:t>
      </w:r>
      <w:r>
        <w:rPr>
          <w:rFonts w:ascii="仿宋_GB2312" w:hAnsi="仿宋_GB2312" w:eastAsia="仿宋_GB2312" w:cs="宋体"/>
          <w:spacing w:val="8"/>
          <w:kern w:val="0"/>
          <w:sz w:val="32"/>
          <w:szCs w:val="32"/>
        </w:rPr>
        <w:t xml:space="preserve"> 本规范由农业</w:t>
      </w:r>
      <w:r>
        <w:rPr>
          <w:rFonts w:hint="eastAsia" w:ascii="仿宋_GB2312" w:hAnsi="仿宋_GB2312" w:eastAsia="仿宋_GB2312" w:cs="宋体"/>
          <w:spacing w:val="8"/>
          <w:kern w:val="0"/>
          <w:sz w:val="32"/>
          <w:szCs w:val="32"/>
        </w:rPr>
        <w:t>农村</w:t>
      </w:r>
      <w:r>
        <w:rPr>
          <w:rFonts w:hint="eastAsia" w:ascii="仿宋_GB2312" w:hAnsi="仿宋_GB2312" w:eastAsia="仿宋_GB2312" w:cs="宋体"/>
          <w:spacing w:val="8"/>
          <w:kern w:val="0"/>
          <w:sz w:val="32"/>
          <w:szCs w:val="32"/>
          <w:lang w:eastAsia="zh-CN"/>
        </w:rPr>
        <w:t>部</w:t>
      </w:r>
      <w:r>
        <w:rPr>
          <w:rFonts w:hint="eastAsia" w:ascii="仿宋_GB2312" w:hAnsi="仿宋_GB2312" w:eastAsia="仿宋_GB2312" w:cs="宋体"/>
          <w:spacing w:val="8"/>
          <w:kern w:val="0"/>
          <w:sz w:val="32"/>
          <w:szCs w:val="32"/>
        </w:rPr>
        <w:t>法规司负</w:t>
      </w:r>
      <w:r>
        <w:rPr>
          <w:rFonts w:ascii="仿宋_GB2312" w:hAnsi="仿宋_GB2312" w:eastAsia="仿宋_GB2312" w:cs="宋体"/>
          <w:spacing w:val="8"/>
          <w:kern w:val="0"/>
          <w:sz w:val="32"/>
          <w:szCs w:val="32"/>
        </w:rPr>
        <w:t xml:space="preserve">责解释。 </w:t>
      </w:r>
      <w:bookmarkStart w:id="8" w:name="_GoBack"/>
      <w:bookmarkEnd w:id="8"/>
    </w:p>
    <w:sectPr>
      <w:footerReference r:id="rId3" w:type="default"/>
      <w:pgSz w:w="11906" w:h="16838"/>
      <w:pgMar w:top="1440" w:right="1797" w:bottom="1440" w:left="1797" w:header="851" w:footer="992" w:gutter="0"/>
      <w:pgNumType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1887"/>
      <w:docPartObj>
        <w:docPartGallery w:val="autotext"/>
      </w:docPartObj>
    </w:sdtPr>
    <w:sdtContent>
      <w:p>
        <w:pPr>
          <w:pStyle w:val="5"/>
          <w:jc w:val="center"/>
        </w:pPr>
        <w:r>
          <w:fldChar w:fldCharType="begin"/>
        </w:r>
        <w:r>
          <w:instrText xml:space="preserve"> PAGE   \* MERGEFORMAT </w:instrText>
        </w:r>
        <w:r>
          <w:fldChar w:fldCharType="separate"/>
        </w:r>
        <w:r>
          <w:rPr>
            <w:lang w:val="zh-CN"/>
          </w:rPr>
          <w:t>3</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6F7E8"/>
    <w:multiLevelType w:val="singleLevel"/>
    <w:tmpl w:val="3446F7E8"/>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2130"/>
    <w:rsid w:val="000020AD"/>
    <w:rsid w:val="00002533"/>
    <w:rsid w:val="00007936"/>
    <w:rsid w:val="00013781"/>
    <w:rsid w:val="000264D3"/>
    <w:rsid w:val="000317CA"/>
    <w:rsid w:val="00034183"/>
    <w:rsid w:val="00035A42"/>
    <w:rsid w:val="000378B6"/>
    <w:rsid w:val="000449AE"/>
    <w:rsid w:val="00061F27"/>
    <w:rsid w:val="00072F25"/>
    <w:rsid w:val="00077D79"/>
    <w:rsid w:val="00085AED"/>
    <w:rsid w:val="000A0C69"/>
    <w:rsid w:val="000A1F82"/>
    <w:rsid w:val="000B4580"/>
    <w:rsid w:val="000B4745"/>
    <w:rsid w:val="000C034A"/>
    <w:rsid w:val="000C2884"/>
    <w:rsid w:val="000C718A"/>
    <w:rsid w:val="000D01FF"/>
    <w:rsid w:val="000E286A"/>
    <w:rsid w:val="000E2BE2"/>
    <w:rsid w:val="000E2FB0"/>
    <w:rsid w:val="000E5304"/>
    <w:rsid w:val="000E7DEB"/>
    <w:rsid w:val="000F6892"/>
    <w:rsid w:val="00102C5C"/>
    <w:rsid w:val="00106C96"/>
    <w:rsid w:val="0013079E"/>
    <w:rsid w:val="00131A34"/>
    <w:rsid w:val="00136367"/>
    <w:rsid w:val="00141761"/>
    <w:rsid w:val="00154ADF"/>
    <w:rsid w:val="00157249"/>
    <w:rsid w:val="001601B4"/>
    <w:rsid w:val="00163B5A"/>
    <w:rsid w:val="00170284"/>
    <w:rsid w:val="001734BD"/>
    <w:rsid w:val="00173700"/>
    <w:rsid w:val="00181E03"/>
    <w:rsid w:val="00191760"/>
    <w:rsid w:val="00194C9C"/>
    <w:rsid w:val="00195A79"/>
    <w:rsid w:val="001B10B9"/>
    <w:rsid w:val="001B43D3"/>
    <w:rsid w:val="001B6399"/>
    <w:rsid w:val="001D0F60"/>
    <w:rsid w:val="001D36C0"/>
    <w:rsid w:val="001F4898"/>
    <w:rsid w:val="0020280E"/>
    <w:rsid w:val="00203AA6"/>
    <w:rsid w:val="00203FE8"/>
    <w:rsid w:val="002109B7"/>
    <w:rsid w:val="0021115B"/>
    <w:rsid w:val="002150F5"/>
    <w:rsid w:val="00217EE9"/>
    <w:rsid w:val="002226EA"/>
    <w:rsid w:val="00224430"/>
    <w:rsid w:val="002316AE"/>
    <w:rsid w:val="00242575"/>
    <w:rsid w:val="00243170"/>
    <w:rsid w:val="002478DA"/>
    <w:rsid w:val="002543D6"/>
    <w:rsid w:val="002606EB"/>
    <w:rsid w:val="00263BD2"/>
    <w:rsid w:val="00265702"/>
    <w:rsid w:val="00270034"/>
    <w:rsid w:val="00272D85"/>
    <w:rsid w:val="0027532C"/>
    <w:rsid w:val="00280F2E"/>
    <w:rsid w:val="0028189C"/>
    <w:rsid w:val="00281A50"/>
    <w:rsid w:val="00281EC3"/>
    <w:rsid w:val="002842BA"/>
    <w:rsid w:val="00285530"/>
    <w:rsid w:val="00287204"/>
    <w:rsid w:val="00294739"/>
    <w:rsid w:val="002A77BF"/>
    <w:rsid w:val="002C3A07"/>
    <w:rsid w:val="002C5050"/>
    <w:rsid w:val="002C6060"/>
    <w:rsid w:val="002D0865"/>
    <w:rsid w:val="002D5D3E"/>
    <w:rsid w:val="002E0CD7"/>
    <w:rsid w:val="002F153D"/>
    <w:rsid w:val="0030692D"/>
    <w:rsid w:val="00310087"/>
    <w:rsid w:val="003100D8"/>
    <w:rsid w:val="00312AD2"/>
    <w:rsid w:val="0031683A"/>
    <w:rsid w:val="00323F22"/>
    <w:rsid w:val="00324A52"/>
    <w:rsid w:val="00325ADD"/>
    <w:rsid w:val="00326951"/>
    <w:rsid w:val="00327CDC"/>
    <w:rsid w:val="0033068F"/>
    <w:rsid w:val="0033757D"/>
    <w:rsid w:val="003452A5"/>
    <w:rsid w:val="00345476"/>
    <w:rsid w:val="00365326"/>
    <w:rsid w:val="003666BC"/>
    <w:rsid w:val="00374DA6"/>
    <w:rsid w:val="003B449B"/>
    <w:rsid w:val="003B5A5C"/>
    <w:rsid w:val="003B71F7"/>
    <w:rsid w:val="003C11D0"/>
    <w:rsid w:val="003C15BE"/>
    <w:rsid w:val="003D1377"/>
    <w:rsid w:val="003D4D90"/>
    <w:rsid w:val="003E3BC6"/>
    <w:rsid w:val="003E4309"/>
    <w:rsid w:val="003E5166"/>
    <w:rsid w:val="003E7124"/>
    <w:rsid w:val="003E76CB"/>
    <w:rsid w:val="003F2E3F"/>
    <w:rsid w:val="003F4D45"/>
    <w:rsid w:val="00403818"/>
    <w:rsid w:val="00403D15"/>
    <w:rsid w:val="00407666"/>
    <w:rsid w:val="0041418B"/>
    <w:rsid w:val="00425A53"/>
    <w:rsid w:val="0043434E"/>
    <w:rsid w:val="00435511"/>
    <w:rsid w:val="00444A73"/>
    <w:rsid w:val="00452D61"/>
    <w:rsid w:val="00462253"/>
    <w:rsid w:val="00474384"/>
    <w:rsid w:val="00476365"/>
    <w:rsid w:val="004B5962"/>
    <w:rsid w:val="004B6E62"/>
    <w:rsid w:val="004C60F7"/>
    <w:rsid w:val="004E713D"/>
    <w:rsid w:val="004F69AB"/>
    <w:rsid w:val="005011E5"/>
    <w:rsid w:val="00501727"/>
    <w:rsid w:val="00506249"/>
    <w:rsid w:val="00522ACD"/>
    <w:rsid w:val="00534ADC"/>
    <w:rsid w:val="005405EF"/>
    <w:rsid w:val="00553295"/>
    <w:rsid w:val="00570136"/>
    <w:rsid w:val="00570165"/>
    <w:rsid w:val="00571E81"/>
    <w:rsid w:val="00580209"/>
    <w:rsid w:val="00592B59"/>
    <w:rsid w:val="005A3C7A"/>
    <w:rsid w:val="005D4762"/>
    <w:rsid w:val="005F1464"/>
    <w:rsid w:val="005F49D8"/>
    <w:rsid w:val="005F5A89"/>
    <w:rsid w:val="00605BEC"/>
    <w:rsid w:val="0061255B"/>
    <w:rsid w:val="0061340D"/>
    <w:rsid w:val="006164B0"/>
    <w:rsid w:val="00620DCB"/>
    <w:rsid w:val="00624C01"/>
    <w:rsid w:val="006262FB"/>
    <w:rsid w:val="00626308"/>
    <w:rsid w:val="00630028"/>
    <w:rsid w:val="006529DA"/>
    <w:rsid w:val="0066134B"/>
    <w:rsid w:val="0068116B"/>
    <w:rsid w:val="00682BB8"/>
    <w:rsid w:val="00684026"/>
    <w:rsid w:val="006937E9"/>
    <w:rsid w:val="00697FAD"/>
    <w:rsid w:val="006A01EC"/>
    <w:rsid w:val="006A4CB8"/>
    <w:rsid w:val="006A6AA9"/>
    <w:rsid w:val="006B351E"/>
    <w:rsid w:val="006C62E9"/>
    <w:rsid w:val="006C7273"/>
    <w:rsid w:val="006D3127"/>
    <w:rsid w:val="006E021C"/>
    <w:rsid w:val="006E2170"/>
    <w:rsid w:val="006E23A2"/>
    <w:rsid w:val="006E31F9"/>
    <w:rsid w:val="006F408A"/>
    <w:rsid w:val="006F7D4D"/>
    <w:rsid w:val="00715C02"/>
    <w:rsid w:val="00724AD6"/>
    <w:rsid w:val="007423DA"/>
    <w:rsid w:val="00744CF4"/>
    <w:rsid w:val="007611E4"/>
    <w:rsid w:val="0077204C"/>
    <w:rsid w:val="00780DD7"/>
    <w:rsid w:val="00786EF1"/>
    <w:rsid w:val="0079024C"/>
    <w:rsid w:val="007A066A"/>
    <w:rsid w:val="007A1AA8"/>
    <w:rsid w:val="007C2943"/>
    <w:rsid w:val="007D7D2A"/>
    <w:rsid w:val="007E5BD4"/>
    <w:rsid w:val="00811B5A"/>
    <w:rsid w:val="00811F26"/>
    <w:rsid w:val="008147E1"/>
    <w:rsid w:val="00816CEB"/>
    <w:rsid w:val="00817904"/>
    <w:rsid w:val="00821B15"/>
    <w:rsid w:val="008230A6"/>
    <w:rsid w:val="00824891"/>
    <w:rsid w:val="00825DCE"/>
    <w:rsid w:val="0083052D"/>
    <w:rsid w:val="008420BC"/>
    <w:rsid w:val="00852130"/>
    <w:rsid w:val="008570BE"/>
    <w:rsid w:val="0087232D"/>
    <w:rsid w:val="008730B9"/>
    <w:rsid w:val="008766F0"/>
    <w:rsid w:val="00880273"/>
    <w:rsid w:val="008808D0"/>
    <w:rsid w:val="00883E8D"/>
    <w:rsid w:val="00886DA1"/>
    <w:rsid w:val="008950A2"/>
    <w:rsid w:val="008A3859"/>
    <w:rsid w:val="008B7217"/>
    <w:rsid w:val="008B748E"/>
    <w:rsid w:val="008C10AD"/>
    <w:rsid w:val="008C20E1"/>
    <w:rsid w:val="008C4134"/>
    <w:rsid w:val="008D7FDD"/>
    <w:rsid w:val="008E242B"/>
    <w:rsid w:val="008F1C30"/>
    <w:rsid w:val="00902042"/>
    <w:rsid w:val="009020A2"/>
    <w:rsid w:val="00904B75"/>
    <w:rsid w:val="00910348"/>
    <w:rsid w:val="00930F1C"/>
    <w:rsid w:val="0093655B"/>
    <w:rsid w:val="00936DB6"/>
    <w:rsid w:val="00991105"/>
    <w:rsid w:val="009A5358"/>
    <w:rsid w:val="009B689E"/>
    <w:rsid w:val="009C30D3"/>
    <w:rsid w:val="009C5A21"/>
    <w:rsid w:val="009D2D9D"/>
    <w:rsid w:val="009D4F8E"/>
    <w:rsid w:val="009E2F62"/>
    <w:rsid w:val="009F1CB9"/>
    <w:rsid w:val="009F4968"/>
    <w:rsid w:val="009F673A"/>
    <w:rsid w:val="009F7797"/>
    <w:rsid w:val="00A00333"/>
    <w:rsid w:val="00A01043"/>
    <w:rsid w:val="00A0609A"/>
    <w:rsid w:val="00A07693"/>
    <w:rsid w:val="00A16C93"/>
    <w:rsid w:val="00A17AB8"/>
    <w:rsid w:val="00A265CB"/>
    <w:rsid w:val="00A428D1"/>
    <w:rsid w:val="00A54D3B"/>
    <w:rsid w:val="00A60E72"/>
    <w:rsid w:val="00A638B2"/>
    <w:rsid w:val="00A64CF6"/>
    <w:rsid w:val="00A7051E"/>
    <w:rsid w:val="00A7125C"/>
    <w:rsid w:val="00A74E18"/>
    <w:rsid w:val="00A77D3F"/>
    <w:rsid w:val="00A77E06"/>
    <w:rsid w:val="00A92C3B"/>
    <w:rsid w:val="00AA3D2B"/>
    <w:rsid w:val="00AB3A7F"/>
    <w:rsid w:val="00AB43B4"/>
    <w:rsid w:val="00AC7A93"/>
    <w:rsid w:val="00AD7764"/>
    <w:rsid w:val="00AE68EC"/>
    <w:rsid w:val="00AF75E8"/>
    <w:rsid w:val="00B00FB5"/>
    <w:rsid w:val="00B04229"/>
    <w:rsid w:val="00B04C55"/>
    <w:rsid w:val="00B06E7E"/>
    <w:rsid w:val="00B12B58"/>
    <w:rsid w:val="00B20474"/>
    <w:rsid w:val="00B2140F"/>
    <w:rsid w:val="00B24DA4"/>
    <w:rsid w:val="00B30D91"/>
    <w:rsid w:val="00B3729F"/>
    <w:rsid w:val="00B4024D"/>
    <w:rsid w:val="00B552AE"/>
    <w:rsid w:val="00B56094"/>
    <w:rsid w:val="00B576C2"/>
    <w:rsid w:val="00B6320A"/>
    <w:rsid w:val="00B643A2"/>
    <w:rsid w:val="00B96894"/>
    <w:rsid w:val="00BA1FCB"/>
    <w:rsid w:val="00BA424E"/>
    <w:rsid w:val="00BB5E74"/>
    <w:rsid w:val="00BB606A"/>
    <w:rsid w:val="00BB663E"/>
    <w:rsid w:val="00BB6F53"/>
    <w:rsid w:val="00BB75FF"/>
    <w:rsid w:val="00BC7B10"/>
    <w:rsid w:val="00BD2605"/>
    <w:rsid w:val="00BD448D"/>
    <w:rsid w:val="00BD46C1"/>
    <w:rsid w:val="00BD4AD5"/>
    <w:rsid w:val="00BD7E27"/>
    <w:rsid w:val="00BE3EBB"/>
    <w:rsid w:val="00BF2B2B"/>
    <w:rsid w:val="00BF4B1E"/>
    <w:rsid w:val="00C00915"/>
    <w:rsid w:val="00C02E2F"/>
    <w:rsid w:val="00C072FB"/>
    <w:rsid w:val="00C17FF7"/>
    <w:rsid w:val="00C223FB"/>
    <w:rsid w:val="00C22B95"/>
    <w:rsid w:val="00C230A7"/>
    <w:rsid w:val="00C27D4A"/>
    <w:rsid w:val="00C343BC"/>
    <w:rsid w:val="00C4469D"/>
    <w:rsid w:val="00C57222"/>
    <w:rsid w:val="00C612DA"/>
    <w:rsid w:val="00C6238A"/>
    <w:rsid w:val="00C627DF"/>
    <w:rsid w:val="00C65CB9"/>
    <w:rsid w:val="00C73122"/>
    <w:rsid w:val="00C7414C"/>
    <w:rsid w:val="00C8397E"/>
    <w:rsid w:val="00C84E11"/>
    <w:rsid w:val="00C86CC8"/>
    <w:rsid w:val="00CB5BB4"/>
    <w:rsid w:val="00CD14B7"/>
    <w:rsid w:val="00CD1767"/>
    <w:rsid w:val="00CD2C80"/>
    <w:rsid w:val="00CF10C7"/>
    <w:rsid w:val="00CF5956"/>
    <w:rsid w:val="00CF5F07"/>
    <w:rsid w:val="00D10FF4"/>
    <w:rsid w:val="00D4207E"/>
    <w:rsid w:val="00D43D37"/>
    <w:rsid w:val="00D63013"/>
    <w:rsid w:val="00D65ECE"/>
    <w:rsid w:val="00D71127"/>
    <w:rsid w:val="00D74FA5"/>
    <w:rsid w:val="00D878B6"/>
    <w:rsid w:val="00D93F97"/>
    <w:rsid w:val="00D956CB"/>
    <w:rsid w:val="00DB2576"/>
    <w:rsid w:val="00DC292F"/>
    <w:rsid w:val="00DC4144"/>
    <w:rsid w:val="00DC6AEF"/>
    <w:rsid w:val="00DD192E"/>
    <w:rsid w:val="00DE0EAC"/>
    <w:rsid w:val="00DF341B"/>
    <w:rsid w:val="00E011BC"/>
    <w:rsid w:val="00E02A21"/>
    <w:rsid w:val="00E0435A"/>
    <w:rsid w:val="00E14B1E"/>
    <w:rsid w:val="00E265E2"/>
    <w:rsid w:val="00E2667B"/>
    <w:rsid w:val="00E50A52"/>
    <w:rsid w:val="00E62B44"/>
    <w:rsid w:val="00E72682"/>
    <w:rsid w:val="00E72CC4"/>
    <w:rsid w:val="00E87DC5"/>
    <w:rsid w:val="00EB34C9"/>
    <w:rsid w:val="00EB3602"/>
    <w:rsid w:val="00EB647A"/>
    <w:rsid w:val="00ED711A"/>
    <w:rsid w:val="00F15007"/>
    <w:rsid w:val="00F20995"/>
    <w:rsid w:val="00F20A12"/>
    <w:rsid w:val="00F3744E"/>
    <w:rsid w:val="00F476C5"/>
    <w:rsid w:val="00F55C8E"/>
    <w:rsid w:val="00F75BC7"/>
    <w:rsid w:val="00F766FE"/>
    <w:rsid w:val="00F80BEB"/>
    <w:rsid w:val="00F836AD"/>
    <w:rsid w:val="00F91457"/>
    <w:rsid w:val="00FA0E5F"/>
    <w:rsid w:val="00FA0E6E"/>
    <w:rsid w:val="00FA463D"/>
    <w:rsid w:val="00FA7BC6"/>
    <w:rsid w:val="00FB2F9A"/>
    <w:rsid w:val="00FC331E"/>
    <w:rsid w:val="00FC3862"/>
    <w:rsid w:val="00FC62BB"/>
    <w:rsid w:val="00FD334D"/>
    <w:rsid w:val="00FF4A9D"/>
    <w:rsid w:val="05F060CD"/>
    <w:rsid w:val="161418B2"/>
    <w:rsid w:val="1AF356A6"/>
    <w:rsid w:val="1C7D403F"/>
    <w:rsid w:val="26FD25CC"/>
    <w:rsid w:val="27CF2279"/>
    <w:rsid w:val="2A880E5F"/>
    <w:rsid w:val="2CA72F98"/>
    <w:rsid w:val="2CCC5FCE"/>
    <w:rsid w:val="2EFC29C5"/>
    <w:rsid w:val="2FA5011E"/>
    <w:rsid w:val="317808DF"/>
    <w:rsid w:val="38103615"/>
    <w:rsid w:val="3E937CFD"/>
    <w:rsid w:val="423D4C5C"/>
    <w:rsid w:val="43A6001A"/>
    <w:rsid w:val="44106172"/>
    <w:rsid w:val="47FB5431"/>
    <w:rsid w:val="4A68322A"/>
    <w:rsid w:val="4D4A68E9"/>
    <w:rsid w:val="4E4D43A4"/>
    <w:rsid w:val="52085B08"/>
    <w:rsid w:val="55A0325F"/>
    <w:rsid w:val="580A0CD7"/>
    <w:rsid w:val="58900A6A"/>
    <w:rsid w:val="5CFF1C85"/>
    <w:rsid w:val="5EEC0E89"/>
    <w:rsid w:val="5F487BCE"/>
    <w:rsid w:val="605316F9"/>
    <w:rsid w:val="6E2540E1"/>
    <w:rsid w:val="702C2ABC"/>
    <w:rsid w:val="7033102D"/>
    <w:rsid w:val="74E77308"/>
    <w:rsid w:val="768B065E"/>
    <w:rsid w:val="77265AC6"/>
    <w:rsid w:val="79EF4F95"/>
    <w:rsid w:val="7AEE57BB"/>
    <w:rsid w:val="7B760612"/>
    <w:rsid w:val="7BA560EA"/>
    <w:rsid w:val="7BC80FF4"/>
    <w:rsid w:val="7D473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unhideWhenUsed/>
    <w:qFormat/>
    <w:uiPriority w:val="0"/>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仿宋_GB2312" w:cs="宋体"/>
      <w:kern w:val="0"/>
      <w:sz w:val="24"/>
      <w:szCs w:val="20"/>
    </w:rPr>
  </w:style>
  <w:style w:type="paragraph" w:styleId="8">
    <w:name w:val="annotation subject"/>
    <w:basedOn w:val="3"/>
    <w:next w:val="3"/>
    <w:link w:val="17"/>
    <w:semiHidden/>
    <w:unhideWhenUsed/>
    <w:qFormat/>
    <w:uiPriority w:val="99"/>
    <w:rPr>
      <w:b/>
      <w:bCs/>
    </w:rPr>
  </w:style>
  <w:style w:type="character" w:styleId="11">
    <w:name w:val="annotation reference"/>
    <w:basedOn w:val="10"/>
    <w:unhideWhenUsed/>
    <w:qFormat/>
    <w:uiPriority w:val="0"/>
    <w:rPr>
      <w:sz w:val="21"/>
      <w:szCs w:val="21"/>
    </w:rPr>
  </w:style>
  <w:style w:type="paragraph" w:styleId="12">
    <w:name w:val="List Paragraph"/>
    <w:basedOn w:val="1"/>
    <w:qFormat/>
    <w:uiPriority w:val="34"/>
    <w:pPr>
      <w:ind w:firstLine="420" w:firstLineChars="200"/>
    </w:pPr>
  </w:style>
  <w:style w:type="character" w:customStyle="1" w:styleId="13">
    <w:name w:val="页眉 Char"/>
    <w:basedOn w:val="10"/>
    <w:link w:val="6"/>
    <w:qFormat/>
    <w:uiPriority w:val="99"/>
    <w:rPr>
      <w:rFonts w:ascii="Times New Roman" w:hAnsi="Times New Roman" w:eastAsia="宋体" w:cs="Times New Roman"/>
      <w:sz w:val="18"/>
      <w:szCs w:val="18"/>
    </w:rPr>
  </w:style>
  <w:style w:type="character" w:customStyle="1" w:styleId="14">
    <w:name w:val="页脚 Char"/>
    <w:basedOn w:val="10"/>
    <w:link w:val="5"/>
    <w:qFormat/>
    <w:uiPriority w:val="99"/>
    <w:rPr>
      <w:rFonts w:ascii="Times New Roman" w:hAnsi="Times New Roman" w:eastAsia="宋体" w:cs="Times New Roman"/>
      <w:sz w:val="18"/>
      <w:szCs w:val="18"/>
    </w:rPr>
  </w:style>
  <w:style w:type="character" w:customStyle="1" w:styleId="15">
    <w:name w:val="批注框文本 Char"/>
    <w:basedOn w:val="10"/>
    <w:link w:val="4"/>
    <w:semiHidden/>
    <w:qFormat/>
    <w:uiPriority w:val="99"/>
    <w:rPr>
      <w:rFonts w:ascii="Times New Roman" w:hAnsi="Times New Roman" w:eastAsia="宋体" w:cs="Times New Roman"/>
      <w:sz w:val="18"/>
      <w:szCs w:val="18"/>
    </w:rPr>
  </w:style>
  <w:style w:type="character" w:customStyle="1" w:styleId="16">
    <w:name w:val="批注文字 Char"/>
    <w:basedOn w:val="10"/>
    <w:link w:val="3"/>
    <w:semiHidden/>
    <w:qFormat/>
    <w:uiPriority w:val="99"/>
    <w:rPr>
      <w:rFonts w:ascii="Times New Roman" w:hAnsi="Times New Roman" w:eastAsia="宋体" w:cs="Times New Roman"/>
      <w:sz w:val="21"/>
    </w:rPr>
  </w:style>
  <w:style w:type="character" w:customStyle="1" w:styleId="17">
    <w:name w:val="批注主题 Char"/>
    <w:basedOn w:val="16"/>
    <w:link w:val="8"/>
    <w:semiHidden/>
    <w:qFormat/>
    <w:uiPriority w:val="99"/>
    <w:rPr>
      <w:rFonts w:ascii="Times New Roman" w:hAnsi="Times New Roman" w:eastAsia="宋体" w:cs="Times New Roman"/>
      <w:b/>
      <w:bCs/>
      <w:sz w:val="21"/>
    </w:rPr>
  </w:style>
  <w:style w:type="paragraph" w:customStyle="1" w:styleId="1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9">
    <w:name w:val="标题 1 Char"/>
    <w:basedOn w:val="10"/>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77F01D-9CE2-47F8-9F54-5F7D13FBF6B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1817</Words>
  <Characters>10362</Characters>
  <Lines>86</Lines>
  <Paragraphs>24</Paragraphs>
  <TotalTime>9</TotalTime>
  <ScaleCrop>false</ScaleCrop>
  <LinksUpToDate>false</LinksUpToDate>
  <CharactersWithSpaces>12155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2020-08-24T00:00:00Z</dcterms:created>
  <dc:creator>CHENG LIU</dc:creator>
  <cp:lastModifiedBy>DELL</cp:lastModifiedBy>
  <cp:lastPrinted>2020-09-08T04:29:00Z</cp:lastPrinted>
  <dcterms:modified xsi:type="dcterms:W3CDTF">2020-09-23T02:08:13Z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