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napToGrid w:val="0"/>
        <w:spacing w:line="500" w:lineRule="exact"/>
        <w:jc w:val="center"/>
        <w:rPr>
          <w:rFonts w:hint="eastAsia" w:ascii="方正大标宋简体" w:hAnsi="华文中宋" w:eastAsia="方正大标宋简体" w:cs="华文中宋"/>
          <w:bCs/>
          <w:sz w:val="44"/>
          <w:szCs w:val="44"/>
          <w:lang w:eastAsia="zh-CN"/>
        </w:rPr>
      </w:pPr>
      <w:bookmarkStart w:id="0" w:name="_GoBack"/>
      <w:r>
        <w:rPr>
          <w:rFonts w:hint="eastAsia" w:ascii="方正大标宋简体" w:hAnsi="华文中宋" w:eastAsia="方正大标宋简体" w:cs="华文中宋"/>
          <w:bCs/>
          <w:sz w:val="44"/>
          <w:szCs w:val="44"/>
        </w:rPr>
        <w:t>黄石市农业</w:t>
      </w:r>
      <w:r>
        <w:rPr>
          <w:rFonts w:hint="eastAsia" w:ascii="方正大标宋简体" w:hAnsi="华文中宋" w:eastAsia="方正大标宋简体" w:cs="华文中宋"/>
          <w:bCs/>
          <w:sz w:val="44"/>
          <w:szCs w:val="44"/>
          <w:lang w:eastAsia="zh-CN"/>
        </w:rPr>
        <w:t>农村</w:t>
      </w:r>
      <w:r>
        <w:rPr>
          <w:rFonts w:hint="eastAsia" w:ascii="方正大标宋简体" w:hAnsi="华文中宋" w:eastAsia="方正大标宋简体" w:cs="华文中宋"/>
          <w:bCs/>
          <w:sz w:val="44"/>
          <w:szCs w:val="44"/>
        </w:rPr>
        <w:t>局财务管理规定</w:t>
      </w:r>
      <w:r>
        <w:rPr>
          <w:rFonts w:hint="eastAsia" w:ascii="方正大标宋简体" w:hAnsi="华文中宋" w:eastAsia="方正大标宋简体" w:cs="华文中宋"/>
          <w:bCs/>
          <w:sz w:val="44"/>
          <w:szCs w:val="44"/>
          <w:lang w:eastAsia="zh-CN"/>
        </w:rPr>
        <w:t>（试行）</w:t>
      </w:r>
    </w:p>
    <w:bookmarkEnd w:id="0"/>
    <w:p>
      <w:pPr>
        <w:kinsoku w:val="0"/>
        <w:overflowPunct w:val="0"/>
        <w:autoSpaceDE w:val="0"/>
        <w:autoSpaceDN w:val="0"/>
        <w:adjustRightInd w:val="0"/>
        <w:snapToGrid w:val="0"/>
        <w:spacing w:line="500" w:lineRule="exact"/>
        <w:jc w:val="center"/>
        <w:rPr>
          <w:rFonts w:hint="eastAsia" w:ascii="仿宋_GB2312" w:hAnsi="仿宋_GB2312" w:eastAsia="方正大标宋简体" w:cs="仿宋_GB2312"/>
          <w:sz w:val="20"/>
          <w:szCs w:val="20"/>
          <w:lang w:eastAsia="zh-CN"/>
        </w:rPr>
      </w:pPr>
      <w:r>
        <w:rPr>
          <w:rFonts w:hint="eastAsia" w:ascii="方正大标宋简体" w:hAnsi="华文中宋" w:eastAsia="方正大标宋简体" w:cs="华文中宋"/>
          <w:bCs/>
          <w:sz w:val="24"/>
          <w:szCs w:val="24"/>
          <w:lang w:val="en-US" w:eastAsia="zh-CN"/>
        </w:rPr>
        <w:t>&lt;</w:t>
      </w:r>
      <w:r>
        <w:rPr>
          <w:rFonts w:hint="eastAsia" w:ascii="方正大标宋简体" w:hAnsi="华文中宋" w:eastAsia="方正大标宋简体" w:cs="华文中宋"/>
          <w:bCs/>
          <w:sz w:val="24"/>
          <w:szCs w:val="24"/>
          <w:lang w:eastAsia="zh-CN"/>
        </w:rPr>
        <w:t>节选部分</w:t>
      </w:r>
      <w:r>
        <w:rPr>
          <w:rFonts w:hint="eastAsia" w:ascii="方正大标宋简体" w:hAnsi="华文中宋" w:eastAsia="方正大标宋简体" w:cs="华文中宋"/>
          <w:bCs/>
          <w:sz w:val="24"/>
          <w:szCs w:val="24"/>
          <w:lang w:val="en-US" w:eastAsia="zh-CN"/>
        </w:rPr>
        <w:t>&gt;</w:t>
      </w:r>
    </w:p>
    <w:p>
      <w:pPr>
        <w:numPr>
          <w:ilvl w:val="0"/>
          <w:numId w:val="1"/>
        </w:numPr>
        <w:kinsoku w:val="0"/>
        <w:overflowPunct w:val="0"/>
        <w:autoSpaceDE w:val="0"/>
        <w:autoSpaceDN w:val="0"/>
        <w:adjustRightInd w:val="0"/>
        <w:snapToGrid w:val="0"/>
        <w:spacing w:line="480" w:lineRule="exact"/>
        <w:jc w:val="center"/>
        <w:rPr>
          <w:rFonts w:hint="eastAsia" w:ascii="黑体" w:hAnsi="黑体" w:eastAsia="黑体" w:cs="黑体"/>
          <w:sz w:val="32"/>
          <w:szCs w:val="32"/>
        </w:rPr>
      </w:pPr>
      <w:r>
        <w:rPr>
          <w:rFonts w:hint="eastAsia" w:ascii="黑体" w:hAnsi="黑体" w:eastAsia="黑体" w:cs="黑体"/>
          <w:sz w:val="32"/>
          <w:szCs w:val="32"/>
        </w:rPr>
        <w:t xml:space="preserve"> 总则</w:t>
      </w:r>
    </w:p>
    <w:p>
      <w:pPr>
        <w:kinsoku w:val="0"/>
        <w:overflowPunct w:val="0"/>
        <w:autoSpaceDE w:val="0"/>
        <w:autoSpaceDN w:val="0"/>
        <w:adjustRightInd w:val="0"/>
        <w:snapToGrid w:val="0"/>
        <w:spacing w:line="480" w:lineRule="exact"/>
        <w:rPr>
          <w:rFonts w:hint="eastAsia" w:ascii="黑体" w:hAnsi="黑体" w:eastAsia="黑体" w:cs="黑体"/>
          <w:sz w:val="32"/>
          <w:szCs w:val="32"/>
        </w:rPr>
      </w:pPr>
    </w:p>
    <w:p>
      <w:pPr>
        <w:kinsoku w:val="0"/>
        <w:overflowPunct w:val="0"/>
        <w:autoSpaceDE w:val="0"/>
        <w:autoSpaceDN w:val="0"/>
        <w:adjustRightInd w:val="0"/>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第一条</w:t>
      </w:r>
      <w:r>
        <w:rPr>
          <w:rFonts w:hint="eastAsia" w:ascii="仿宋_GB2312" w:hAnsi="仿宋_GB2312" w:eastAsia="仿宋_GB2312" w:cs="仿宋_GB2312"/>
          <w:sz w:val="32"/>
          <w:szCs w:val="32"/>
        </w:rPr>
        <w:t xml:space="preserve">  为进一步加强局机关财务管理，规范局机关财务行为，严肃财经纪律，健全“事前有标准、事中有控制、事后有分析”的财务会计管理体系，根据《中华人民共和国会计法》、《中华人民共和国预算法》、《行政单位会计制度》、《关于进一步加强行政事业单位财务管理的意见》等有关法律法规规定，结合局机关实际，制定本规定。   </w:t>
      </w:r>
    </w:p>
    <w:p>
      <w:pPr>
        <w:kinsoku w:val="0"/>
        <w:overflowPunct w:val="0"/>
        <w:autoSpaceDE w:val="0"/>
        <w:autoSpaceDN w:val="0"/>
        <w:adjustRightInd w:val="0"/>
        <w:snapToGrid w:val="0"/>
        <w:spacing w:line="48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基本原则</w:t>
      </w:r>
    </w:p>
    <w:p>
      <w:pPr>
        <w:kinsoku w:val="0"/>
        <w:overflowPunct w:val="0"/>
        <w:autoSpaceDE w:val="0"/>
        <w:autoSpaceDN w:val="0"/>
        <w:adjustRightInd w:val="0"/>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sz w:val="32"/>
          <w:szCs w:val="32"/>
        </w:rPr>
        <w:t>（一）统一管理原则。</w:t>
      </w:r>
      <w:r>
        <w:rPr>
          <w:rFonts w:hint="eastAsia" w:ascii="仿宋_GB2312" w:hAnsi="仿宋_GB2312" w:eastAsia="仿宋_GB2312" w:cs="仿宋_GB2312"/>
          <w:sz w:val="32"/>
          <w:szCs w:val="32"/>
        </w:rPr>
        <w:t>局机关及直属三家参公管理事业单位财政经费收支实行统一管理。</w:t>
      </w:r>
    </w:p>
    <w:p>
      <w:pPr>
        <w:kinsoku w:val="0"/>
        <w:overflowPunct w:val="0"/>
        <w:autoSpaceDE w:val="0"/>
        <w:autoSpaceDN w:val="0"/>
        <w:adjustRightInd w:val="0"/>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sz w:val="32"/>
          <w:szCs w:val="32"/>
        </w:rPr>
        <w:t xml:space="preserve">  （二）逐级审批原则。</w:t>
      </w:r>
      <w:r>
        <w:rPr>
          <w:rFonts w:hint="eastAsia" w:ascii="仿宋_GB2312" w:hAnsi="仿宋_GB2312" w:eastAsia="仿宋_GB2312" w:cs="仿宋_GB2312"/>
          <w:sz w:val="32"/>
          <w:szCs w:val="32"/>
        </w:rPr>
        <w:t>按照审批权限实行逐级审批，严格实行分管财务领导“一支笔”。</w:t>
      </w:r>
    </w:p>
    <w:p>
      <w:pPr>
        <w:kinsoku w:val="0"/>
        <w:overflowPunct w:val="0"/>
        <w:autoSpaceDE w:val="0"/>
        <w:autoSpaceDN w:val="0"/>
        <w:adjustRightInd w:val="0"/>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sz w:val="32"/>
          <w:szCs w:val="32"/>
        </w:rPr>
        <w:t>（三）预算约束原则。</w:t>
      </w:r>
      <w:r>
        <w:rPr>
          <w:rFonts w:hint="eastAsia" w:ascii="仿宋_GB2312" w:hAnsi="仿宋_GB2312" w:eastAsia="仿宋_GB2312" w:cs="仿宋_GB2312"/>
          <w:sz w:val="32"/>
          <w:szCs w:val="32"/>
        </w:rPr>
        <w:t>按照年度部门预算批复数，严格执行财务收支管理。</w:t>
      </w:r>
    </w:p>
    <w:p>
      <w:pPr>
        <w:kinsoku w:val="0"/>
        <w:overflowPunct w:val="0"/>
        <w:autoSpaceDE w:val="0"/>
        <w:autoSpaceDN w:val="0"/>
        <w:adjustRightInd w:val="0"/>
        <w:snapToGrid w:val="0"/>
        <w:spacing w:line="480" w:lineRule="exact"/>
        <w:ind w:firstLine="640"/>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（四）强化监管原则。</w:t>
      </w:r>
      <w:r>
        <w:rPr>
          <w:rFonts w:hint="eastAsia" w:ascii="仿宋_GB2312" w:hAnsi="仿宋_GB2312" w:eastAsia="仿宋_GB2312" w:cs="仿宋_GB2312"/>
          <w:spacing w:val="2"/>
          <w:sz w:val="32"/>
          <w:szCs w:val="32"/>
        </w:rPr>
        <w:t>自觉接受市纪委派驻纪检组、财政局、纪检监察、审计部门和社会各界监督。</w:t>
      </w:r>
    </w:p>
    <w:p>
      <w:pPr>
        <w:kinsoku w:val="0"/>
        <w:overflowPunct w:val="0"/>
        <w:autoSpaceDE w:val="0"/>
        <w:autoSpaceDN w:val="0"/>
        <w:adjustRightInd w:val="0"/>
        <w:snapToGrid w:val="0"/>
        <w:spacing w:line="480" w:lineRule="exact"/>
        <w:jc w:val="center"/>
        <w:rPr>
          <w:rFonts w:hint="eastAsia" w:ascii="黑体" w:hAnsi="黑体" w:eastAsia="黑体" w:cs="黑体"/>
          <w:sz w:val="32"/>
          <w:szCs w:val="32"/>
        </w:rPr>
      </w:pPr>
    </w:p>
    <w:p>
      <w:pPr>
        <w:kinsoku w:val="0"/>
        <w:overflowPunct w:val="0"/>
        <w:autoSpaceDE w:val="0"/>
        <w:autoSpaceDN w:val="0"/>
        <w:adjustRightInd w:val="0"/>
        <w:snapToGrid w:val="0"/>
        <w:spacing w:line="480" w:lineRule="exact"/>
        <w:jc w:val="center"/>
        <w:rPr>
          <w:rFonts w:hint="eastAsia" w:ascii="黑体" w:hAnsi="黑体" w:eastAsia="黑体" w:cs="黑体"/>
          <w:sz w:val="32"/>
          <w:szCs w:val="32"/>
        </w:rPr>
      </w:pPr>
      <w:r>
        <w:rPr>
          <w:rFonts w:hint="eastAsia" w:ascii="黑体" w:hAnsi="黑体" w:eastAsia="黑体" w:cs="黑体"/>
          <w:sz w:val="32"/>
          <w:szCs w:val="32"/>
        </w:rPr>
        <w:t>第二章  预算管理</w:t>
      </w:r>
    </w:p>
    <w:p>
      <w:pPr>
        <w:kinsoku w:val="0"/>
        <w:overflowPunct w:val="0"/>
        <w:autoSpaceDE w:val="0"/>
        <w:autoSpaceDN w:val="0"/>
        <w:adjustRightInd w:val="0"/>
        <w:snapToGrid w:val="0"/>
        <w:spacing w:line="480" w:lineRule="exact"/>
        <w:jc w:val="center"/>
        <w:rPr>
          <w:rFonts w:hint="eastAsia" w:ascii="黑体" w:hAnsi="黑体" w:eastAsia="黑体" w:cs="黑体"/>
          <w:sz w:val="32"/>
          <w:szCs w:val="32"/>
        </w:rPr>
      </w:pPr>
    </w:p>
    <w:p>
      <w:pPr>
        <w:kinsoku w:val="0"/>
        <w:overflowPunct w:val="0"/>
        <w:autoSpaceDE w:val="0"/>
        <w:autoSpaceDN w:val="0"/>
        <w:adjustRightInd w:val="0"/>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全部收支纳入部门预算编报范围。</w:t>
      </w:r>
    </w:p>
    <w:p>
      <w:pPr>
        <w:kinsoku w:val="0"/>
        <w:overflowPunct w:val="0"/>
        <w:autoSpaceDE w:val="0"/>
        <w:autoSpaceDN w:val="0"/>
        <w:adjustRightInd w:val="0"/>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第四条 </w:t>
      </w:r>
      <w:r>
        <w:rPr>
          <w:rFonts w:hint="eastAsia" w:ascii="仿宋_GB2312" w:hAnsi="仿宋_GB2312" w:eastAsia="仿宋_GB2312" w:cs="仿宋_GB2312"/>
          <w:sz w:val="32"/>
          <w:szCs w:val="32"/>
        </w:rPr>
        <w:t xml:space="preserve"> 部门预算编制内容</w:t>
      </w:r>
    </w:p>
    <w:p>
      <w:pPr>
        <w:kinsoku w:val="0"/>
        <w:overflowPunct w:val="0"/>
        <w:autoSpaceDE w:val="0"/>
        <w:autoSpaceDN w:val="0"/>
        <w:adjustRightInd w:val="0"/>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（一）收入预算根据工作计划，参照近年收入情况，并考虑预算年度可能出现的收入增减因素编制。</w:t>
      </w:r>
    </w:p>
    <w:p>
      <w:pPr>
        <w:kinsoku w:val="0"/>
        <w:overflowPunct w:val="0"/>
        <w:autoSpaceDE w:val="0"/>
        <w:autoSpaceDN w:val="0"/>
        <w:adjustRightInd w:val="0"/>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支出预算包括基本支出预算和项目支出预算。基本支出预算根据核定的人员或编制数，按照国家和省、市出台的工资及津贴补贴等政策标准、日常公用经费预算定额标准计算编制。项目支出预算依据项目绩效评价结果或结合本年度为完成特定的工作任务及事业发展目标编制。</w:t>
      </w:r>
    </w:p>
    <w:p>
      <w:pPr>
        <w:kinsoku w:val="0"/>
        <w:overflowPunct w:val="0"/>
        <w:autoSpaceDE w:val="0"/>
        <w:autoSpaceDN w:val="0"/>
        <w:adjustRightInd w:val="0"/>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（三）依法依规编制政府采购预算和政府购买服务预算。</w:t>
      </w:r>
    </w:p>
    <w:p>
      <w:pPr>
        <w:kinsoku w:val="0"/>
        <w:overflowPunct w:val="0"/>
        <w:autoSpaceDE w:val="0"/>
        <w:autoSpaceDN w:val="0"/>
        <w:adjustRightInd w:val="0"/>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insoku w:val="0"/>
        <w:overflowPunct w:val="0"/>
        <w:autoSpaceDE w:val="0"/>
        <w:autoSpaceDN w:val="0"/>
        <w:adjustRightInd w:val="0"/>
        <w:snapToGrid w:val="0"/>
        <w:spacing w:line="480" w:lineRule="exact"/>
        <w:jc w:val="center"/>
        <w:rPr>
          <w:rFonts w:hint="eastAsia" w:ascii="黑体" w:hAnsi="黑体" w:eastAsia="黑体" w:cs="黑体"/>
          <w:sz w:val="32"/>
          <w:szCs w:val="32"/>
        </w:rPr>
      </w:pPr>
      <w:r>
        <w:rPr>
          <w:rFonts w:hint="eastAsia" w:ascii="黑体" w:hAnsi="黑体" w:eastAsia="黑体" w:cs="黑体"/>
          <w:sz w:val="32"/>
          <w:szCs w:val="32"/>
        </w:rPr>
        <w:t>第三章  收入管理</w:t>
      </w:r>
    </w:p>
    <w:p>
      <w:pPr>
        <w:kinsoku w:val="0"/>
        <w:overflowPunct w:val="0"/>
        <w:autoSpaceDE w:val="0"/>
        <w:autoSpaceDN w:val="0"/>
        <w:adjustRightInd w:val="0"/>
        <w:snapToGrid w:val="0"/>
        <w:spacing w:line="480" w:lineRule="exact"/>
        <w:jc w:val="center"/>
        <w:rPr>
          <w:rFonts w:hint="eastAsia" w:ascii="黑体" w:hAnsi="黑体" w:eastAsia="黑体" w:cs="黑体"/>
          <w:sz w:val="32"/>
          <w:szCs w:val="32"/>
        </w:rPr>
      </w:pPr>
    </w:p>
    <w:p>
      <w:pPr>
        <w:kinsoku w:val="0"/>
        <w:overflowPunct w:val="0"/>
        <w:autoSpaceDE w:val="0"/>
        <w:autoSpaceDN w:val="0"/>
        <w:adjustRightInd w:val="0"/>
        <w:snapToGrid w:val="0"/>
        <w:spacing w:line="480" w:lineRule="exact"/>
        <w:rPr>
          <w:rFonts w:hint="eastAsia" w:ascii="仿宋_GB2312" w:hAnsi="仿宋_GB2312" w:eastAsia="仿宋_GB2312" w:cs="仿宋_GB2312"/>
          <w:spacing w:val="-23"/>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单位取得的收入包括财政预算拨款收入、上级补助收入</w:t>
      </w:r>
      <w:r>
        <w:rPr>
          <w:rFonts w:hint="eastAsia" w:ascii="仿宋_GB2312" w:hAnsi="仿宋_GB2312" w:eastAsia="仿宋_GB2312" w:cs="仿宋_GB2312"/>
          <w:spacing w:val="-23"/>
          <w:sz w:val="32"/>
          <w:szCs w:val="32"/>
        </w:rPr>
        <w:t>、其他收入等。收入由局财务科实行统一管理，统一核算。</w:t>
      </w:r>
    </w:p>
    <w:p>
      <w:pPr>
        <w:kinsoku w:val="0"/>
        <w:overflowPunct w:val="0"/>
        <w:autoSpaceDE w:val="0"/>
        <w:autoSpaceDN w:val="0"/>
        <w:adjustRightInd w:val="0"/>
        <w:snapToGrid w:val="0"/>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局机关及直属事业单位依法收取的行政事业性收费收入、国有资源（资产）有偿使用收入、其他非税收入等，及时足额上交国库或专户，严格实行收支两条线管理，任何单位和个人不得截留、坐支、挪用。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D6DED"/>
    <w:multiLevelType w:val="singleLevel"/>
    <w:tmpl w:val="58FD6DED"/>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F00DC"/>
    <w:rsid w:val="5A2F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2020-12-24T02:26:00Z</dcterms:created>
  <dc:creator>邵璐</dc:creator>
  <cp:lastModifiedBy>邵璐</cp:lastModifiedBy>
  <dcterms:modified xsi:type="dcterms:W3CDTF">2020-12-24T02:28:52Z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